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988EF" w14:textId="77777777" w:rsidR="00493682" w:rsidRDefault="00493682" w:rsidP="00D24F33">
      <w:pPr>
        <w:spacing w:after="120" w:line="276" w:lineRule="auto"/>
        <w:rPr>
          <w:rStyle w:val="Enfasigrassetto"/>
          <w:rFonts w:asciiTheme="minorHAnsi" w:hAnsiTheme="minorHAnsi"/>
          <w:color w:val="4472C4" w:themeColor="accent5"/>
          <w:sz w:val="32"/>
          <w:szCs w:val="32"/>
        </w:rPr>
      </w:pPr>
      <w:bookmarkStart w:id="0" w:name="_Hlk45804049"/>
      <w:bookmarkStart w:id="1" w:name="_Hlk62242818"/>
      <w:bookmarkStart w:id="2" w:name="_Hlk66986945"/>
      <w:bookmarkStart w:id="3" w:name="_Hlk89961768"/>
    </w:p>
    <w:p w14:paraId="78E9F4B1" w14:textId="504AEBEB" w:rsidR="00D24F33" w:rsidRPr="00BB1962" w:rsidRDefault="00BB1962" w:rsidP="00D24F33">
      <w:pPr>
        <w:spacing w:after="120" w:line="276" w:lineRule="auto"/>
        <w:rPr>
          <w:rStyle w:val="Enfasigrassetto"/>
          <w:rFonts w:asciiTheme="minorHAnsi" w:hAnsiTheme="minorHAnsi"/>
          <w:color w:val="4472C4" w:themeColor="accent5"/>
          <w:sz w:val="32"/>
          <w:szCs w:val="32"/>
        </w:rPr>
      </w:pPr>
      <w:r w:rsidRPr="00BB1962">
        <w:rPr>
          <w:rStyle w:val="Enfasigrassetto"/>
          <w:rFonts w:asciiTheme="minorHAnsi" w:hAnsiTheme="minorHAnsi"/>
          <w:color w:val="4472C4" w:themeColor="accent5"/>
          <w:sz w:val="32"/>
          <w:szCs w:val="32"/>
        </w:rPr>
        <w:t>Agroalimentare, prezzi all’ingrosso ancora in salita</w:t>
      </w:r>
    </w:p>
    <w:p w14:paraId="31CB09E3" w14:textId="17F51D3D" w:rsidR="00CB3C34" w:rsidRDefault="00BF35BD" w:rsidP="003E092A">
      <w:pPr>
        <w:spacing w:after="120" w:line="276" w:lineRule="auto"/>
        <w:rPr>
          <w:rFonts w:asciiTheme="minorHAnsi" w:hAnsiTheme="minorHAnsi" w:cstheme="minorHAnsi"/>
          <w:sz w:val="22"/>
          <w:szCs w:val="22"/>
        </w:rPr>
      </w:pPr>
      <w:bookmarkStart w:id="4" w:name="_Hlk66987149"/>
      <w:bookmarkStart w:id="5" w:name="_Hlk66986972"/>
      <w:bookmarkStart w:id="6" w:name="_Hlk45804132"/>
      <w:bookmarkEnd w:id="0"/>
      <w:bookmarkEnd w:id="1"/>
      <w:bookmarkEnd w:id="2"/>
      <w:bookmarkEnd w:id="3"/>
      <w:r w:rsidRPr="00A76D7A">
        <w:rPr>
          <w:rFonts w:asciiTheme="minorHAnsi" w:hAnsiTheme="minorHAnsi" w:cstheme="minorHAnsi"/>
          <w:sz w:val="22"/>
          <w:szCs w:val="22"/>
        </w:rPr>
        <w:t xml:space="preserve">Il </w:t>
      </w:r>
      <w:r w:rsidR="00FB3CEA" w:rsidRPr="00A76D7A">
        <w:rPr>
          <w:rFonts w:asciiTheme="minorHAnsi" w:hAnsiTheme="minorHAnsi" w:cstheme="minorHAnsi"/>
          <w:sz w:val="22"/>
          <w:szCs w:val="22"/>
        </w:rPr>
        <w:t>segno “più” continua a caratterizzare l’andamento dei prezzi all’ingrosso dei prodotti agroalimentari anche in chiusura d’anno. A novembre, infatti, si sono registrati ancora diffusi rincari</w:t>
      </w:r>
      <w:r w:rsidR="00A76D7A">
        <w:rPr>
          <w:rFonts w:asciiTheme="minorHAnsi" w:hAnsiTheme="minorHAnsi" w:cstheme="minorHAnsi"/>
          <w:sz w:val="22"/>
          <w:szCs w:val="22"/>
        </w:rPr>
        <w:t xml:space="preserve"> mensili</w:t>
      </w:r>
      <w:r w:rsidR="00FB3CEA" w:rsidRPr="00A76D7A">
        <w:rPr>
          <w:rFonts w:asciiTheme="minorHAnsi" w:hAnsiTheme="minorHAnsi" w:cstheme="minorHAnsi"/>
          <w:sz w:val="22"/>
          <w:szCs w:val="22"/>
        </w:rPr>
        <w:t xml:space="preserve"> in </w:t>
      </w:r>
      <w:r w:rsidR="00A76D7A">
        <w:rPr>
          <w:rFonts w:asciiTheme="minorHAnsi" w:hAnsiTheme="minorHAnsi" w:cstheme="minorHAnsi"/>
          <w:sz w:val="22"/>
          <w:szCs w:val="22"/>
        </w:rPr>
        <w:t>molti dei</w:t>
      </w:r>
      <w:r w:rsidR="00FB3CEA" w:rsidRPr="00A76D7A">
        <w:rPr>
          <w:rFonts w:asciiTheme="minorHAnsi" w:hAnsiTheme="minorHAnsi" w:cstheme="minorHAnsi"/>
          <w:sz w:val="22"/>
          <w:szCs w:val="22"/>
        </w:rPr>
        <w:t xml:space="preserve"> principali comparti del settore</w:t>
      </w:r>
      <w:r w:rsidRPr="00A76D7A">
        <w:rPr>
          <w:rFonts w:asciiTheme="minorHAnsi" w:hAnsiTheme="minorHAnsi" w:cstheme="minorHAnsi"/>
          <w:sz w:val="22"/>
          <w:szCs w:val="22"/>
        </w:rPr>
        <w:t xml:space="preserve"> agroalimentare </w:t>
      </w:r>
      <w:r w:rsidR="00FB3CEA" w:rsidRPr="00A76D7A">
        <w:rPr>
          <w:rFonts w:asciiTheme="minorHAnsi" w:hAnsiTheme="minorHAnsi" w:cstheme="minorHAnsi"/>
          <w:sz w:val="22"/>
          <w:szCs w:val="22"/>
        </w:rPr>
        <w:t>nazionale</w:t>
      </w:r>
      <w:r w:rsidR="006F1EC0" w:rsidRPr="00A76D7A">
        <w:rPr>
          <w:rFonts w:asciiTheme="minorHAnsi" w:hAnsiTheme="minorHAnsi" w:cstheme="minorHAnsi"/>
          <w:color w:val="222222"/>
          <w:sz w:val="22"/>
          <w:szCs w:val="22"/>
        </w:rPr>
        <w:t>.</w:t>
      </w:r>
      <w:r w:rsidR="00A83698">
        <w:rPr>
          <w:rFonts w:asciiTheme="minorHAnsi" w:hAnsiTheme="minorHAnsi" w:cstheme="minorHAnsi"/>
          <w:color w:val="222222"/>
          <w:sz w:val="22"/>
          <w:szCs w:val="22"/>
        </w:rPr>
        <w:t xml:space="preserve"> Nel mercato delle carni</w:t>
      </w:r>
      <w:r w:rsidR="0018145B">
        <w:rPr>
          <w:rFonts w:asciiTheme="minorHAnsi" w:hAnsiTheme="minorHAnsi" w:cstheme="minorHAnsi"/>
          <w:color w:val="222222"/>
          <w:sz w:val="22"/>
          <w:szCs w:val="22"/>
        </w:rPr>
        <w:t>, oltre alla conferma dei rialzi per le carni bovine,</w:t>
      </w:r>
      <w:r w:rsidR="00A83698">
        <w:rPr>
          <w:rFonts w:asciiTheme="minorHAnsi" w:hAnsiTheme="minorHAnsi" w:cstheme="minorHAnsi"/>
          <w:color w:val="222222"/>
          <w:sz w:val="22"/>
          <w:szCs w:val="22"/>
        </w:rPr>
        <w:t xml:space="preserve"> è spiccato </w:t>
      </w:r>
      <w:r w:rsidR="0018145B">
        <w:rPr>
          <w:rFonts w:asciiTheme="minorHAnsi" w:hAnsiTheme="minorHAnsi" w:cstheme="minorHAnsi"/>
          <w:color w:val="222222"/>
          <w:sz w:val="22"/>
          <w:szCs w:val="22"/>
        </w:rPr>
        <w:t xml:space="preserve">l’aumento per pollo e di tacchino, </w:t>
      </w:r>
      <w:r w:rsidR="00640061">
        <w:rPr>
          <w:rFonts w:asciiTheme="minorHAnsi" w:hAnsiTheme="minorHAnsi" w:cstheme="minorHAnsi"/>
          <w:color w:val="222222"/>
          <w:sz w:val="22"/>
          <w:szCs w:val="22"/>
        </w:rPr>
        <w:t xml:space="preserve">causato dalla riduzione dell’offerta che l’influenza aviaria sta provocando nel mercato italiano. </w:t>
      </w:r>
      <w:r w:rsidR="0074438E">
        <w:rPr>
          <w:rFonts w:asciiTheme="minorHAnsi" w:hAnsiTheme="minorHAnsi" w:cstheme="minorHAnsi"/>
          <w:color w:val="222222"/>
          <w:sz w:val="22"/>
          <w:szCs w:val="22"/>
        </w:rPr>
        <w:t xml:space="preserve">Nel </w:t>
      </w:r>
      <w:r w:rsidR="003E1A44">
        <w:rPr>
          <w:rFonts w:asciiTheme="minorHAnsi" w:hAnsiTheme="minorHAnsi" w:cstheme="minorHAnsi"/>
          <w:color w:val="222222"/>
          <w:sz w:val="22"/>
          <w:szCs w:val="22"/>
        </w:rPr>
        <w:t>comparto</w:t>
      </w:r>
      <w:r w:rsidR="0074438E">
        <w:rPr>
          <w:rFonts w:asciiTheme="minorHAnsi" w:hAnsiTheme="minorHAnsi" w:cstheme="minorHAnsi"/>
          <w:color w:val="222222"/>
          <w:sz w:val="22"/>
          <w:szCs w:val="22"/>
        </w:rPr>
        <w:t xml:space="preserve"> ortofrutticolo, s</w:t>
      </w:r>
      <w:r w:rsidR="00640061">
        <w:rPr>
          <w:rFonts w:asciiTheme="minorHAnsi" w:hAnsiTheme="minorHAnsi" w:cstheme="minorHAnsi"/>
          <w:color w:val="222222"/>
          <w:sz w:val="22"/>
          <w:szCs w:val="22"/>
        </w:rPr>
        <w:t>ostenuti dalla domanda</w:t>
      </w:r>
      <w:r w:rsidR="0074438E">
        <w:rPr>
          <w:rFonts w:asciiTheme="minorHAnsi" w:hAnsiTheme="minorHAnsi" w:cstheme="minorHAnsi"/>
          <w:color w:val="222222"/>
          <w:sz w:val="22"/>
          <w:szCs w:val="22"/>
        </w:rPr>
        <w:t>,</w:t>
      </w:r>
      <w:r w:rsidR="00640061">
        <w:rPr>
          <w:rFonts w:asciiTheme="minorHAnsi" w:hAnsiTheme="minorHAnsi" w:cstheme="minorHAnsi"/>
          <w:color w:val="222222"/>
          <w:sz w:val="22"/>
          <w:szCs w:val="22"/>
        </w:rPr>
        <w:t xml:space="preserve"> </w:t>
      </w:r>
      <w:r w:rsidR="0074438E">
        <w:rPr>
          <w:rFonts w:asciiTheme="minorHAnsi" w:hAnsiTheme="minorHAnsi" w:cstheme="minorHAnsi"/>
          <w:color w:val="222222"/>
          <w:sz w:val="22"/>
          <w:szCs w:val="22"/>
        </w:rPr>
        <w:t xml:space="preserve">si sono registrati aumenti per diversi ortaggi, tra cui melanzane, zucchine e spinaci. Ulteriori rialzi </w:t>
      </w:r>
      <w:proofErr w:type="spellStart"/>
      <w:r w:rsidR="0074438E">
        <w:rPr>
          <w:rFonts w:asciiTheme="minorHAnsi" w:hAnsiTheme="minorHAnsi" w:cstheme="minorHAnsi"/>
          <w:color w:val="222222"/>
          <w:sz w:val="22"/>
          <w:szCs w:val="22"/>
        </w:rPr>
        <w:t>si</w:t>
      </w:r>
      <w:proofErr w:type="spellEnd"/>
      <w:r w:rsidR="0074438E">
        <w:rPr>
          <w:rFonts w:asciiTheme="minorHAnsi" w:hAnsiTheme="minorHAnsi" w:cstheme="minorHAnsi"/>
          <w:color w:val="222222"/>
          <w:sz w:val="22"/>
          <w:szCs w:val="22"/>
        </w:rPr>
        <w:t xml:space="preserve"> sono osservati per le quotazioni del latte spot mentre </w:t>
      </w:r>
      <w:bookmarkStart w:id="7" w:name="_Hlk90488794"/>
      <w:r w:rsidR="0074438E">
        <w:rPr>
          <w:rFonts w:asciiTheme="minorHAnsi" w:hAnsiTheme="minorHAnsi" w:cstheme="minorHAnsi"/>
          <w:color w:val="222222"/>
          <w:sz w:val="22"/>
          <w:szCs w:val="22"/>
        </w:rPr>
        <w:t>si è fermata la corsa dei prezzi del burro, i cui prezzi sono comunque raddoppiati rispetto ad un anno fa.</w:t>
      </w:r>
      <w:bookmarkEnd w:id="7"/>
      <w:r w:rsidR="0074438E">
        <w:rPr>
          <w:rFonts w:asciiTheme="minorHAnsi" w:hAnsiTheme="minorHAnsi" w:cstheme="minorHAnsi"/>
          <w:color w:val="222222"/>
          <w:sz w:val="22"/>
          <w:szCs w:val="22"/>
        </w:rPr>
        <w:t xml:space="preserve"> Nel mercato cerealicolo, è proseguita la crescita delle farine di grano tenero, spinte verso l’alto dai nuovi aumenti rilevati per la materia prima. In rialzo anche i prezzi dei risi. Anche i </w:t>
      </w:r>
      <w:r w:rsidR="0074438E" w:rsidRPr="00D91774">
        <w:rPr>
          <w:rFonts w:ascii="Calibri" w:eastAsia="Calibri" w:hAnsi="Calibri"/>
          <w:sz w:val="22"/>
          <w:szCs w:val="22"/>
          <w:lang w:eastAsia="en-US"/>
        </w:rPr>
        <w:t xml:space="preserve"> prezzi dei vini sfusi hanno registrato nel complesso un’ulteriore crescita a novembre</w:t>
      </w:r>
      <w:r w:rsidR="003E1A44">
        <w:rPr>
          <w:rFonts w:ascii="Calibri" w:eastAsia="Calibri" w:hAnsi="Calibri"/>
          <w:sz w:val="22"/>
          <w:szCs w:val="22"/>
          <w:lang w:eastAsia="en-US"/>
        </w:rPr>
        <w:t xml:space="preserve">, </w:t>
      </w:r>
      <w:r w:rsidR="0074438E" w:rsidRPr="00D91774">
        <w:rPr>
          <w:rFonts w:ascii="Calibri" w:eastAsia="Calibri" w:hAnsi="Calibri"/>
          <w:sz w:val="22"/>
          <w:szCs w:val="22"/>
          <w:lang w:eastAsia="en-US"/>
        </w:rPr>
        <w:t xml:space="preserve">seppur meno accentuata rispetto </w:t>
      </w:r>
      <w:r w:rsidR="003E1A44">
        <w:rPr>
          <w:rFonts w:ascii="Calibri" w:eastAsia="Calibri" w:hAnsi="Calibri"/>
          <w:sz w:val="22"/>
          <w:szCs w:val="22"/>
          <w:lang w:eastAsia="en-US"/>
        </w:rPr>
        <w:t>ai</w:t>
      </w:r>
      <w:r w:rsidR="0074438E" w:rsidRPr="00D91774">
        <w:rPr>
          <w:rFonts w:ascii="Calibri" w:eastAsia="Calibri" w:hAnsi="Calibri"/>
          <w:sz w:val="22"/>
          <w:szCs w:val="22"/>
          <w:lang w:eastAsia="en-US"/>
        </w:rPr>
        <w:t xml:space="preserve"> mesi precedenti</w:t>
      </w:r>
      <w:r w:rsidR="003E1A44">
        <w:rPr>
          <w:rFonts w:ascii="Calibri" w:eastAsia="Calibri" w:hAnsi="Calibri"/>
          <w:sz w:val="22"/>
          <w:szCs w:val="22"/>
          <w:lang w:eastAsia="en-US"/>
        </w:rPr>
        <w:t xml:space="preserve">. </w:t>
      </w:r>
      <w:bookmarkStart w:id="8" w:name="_Hlk90488829"/>
      <w:r w:rsidR="003E1A44">
        <w:rPr>
          <w:rFonts w:ascii="Calibri" w:eastAsia="Calibri" w:hAnsi="Calibri"/>
          <w:sz w:val="22"/>
          <w:szCs w:val="22"/>
          <w:lang w:eastAsia="en-US"/>
        </w:rPr>
        <w:t xml:space="preserve">Nel mercato ittico si confermano in crescita rispetto allo scorso anno i prezzi del pescato fresco. E aumenti rilevanti su base tendenziale si sono registrati anche </w:t>
      </w:r>
      <w:r w:rsidR="003E1A44" w:rsidRPr="00262E72">
        <w:rPr>
          <w:rFonts w:ascii="Calibri" w:eastAsia="Calibri" w:hAnsi="Calibri"/>
          <w:sz w:val="22"/>
          <w:szCs w:val="22"/>
          <w:lang w:eastAsia="en-US"/>
        </w:rPr>
        <w:t>gamberi bianchi, scampi, calamari, seppie</w:t>
      </w:r>
      <w:r w:rsidR="00BE1AA5">
        <w:rPr>
          <w:rFonts w:ascii="Calibri" w:eastAsia="Calibri" w:hAnsi="Calibri"/>
          <w:sz w:val="22"/>
          <w:szCs w:val="22"/>
          <w:lang w:eastAsia="en-US"/>
        </w:rPr>
        <w:t>.</w:t>
      </w:r>
      <w:bookmarkEnd w:id="8"/>
    </w:p>
    <w:p w14:paraId="7019AA7E" w14:textId="6F2265B9" w:rsidR="003E092A" w:rsidRPr="0024686B" w:rsidRDefault="00FF0684" w:rsidP="000F268A">
      <w:pPr>
        <w:spacing w:line="276" w:lineRule="auto"/>
        <w:rPr>
          <w:rFonts w:asciiTheme="minorHAnsi" w:hAnsiTheme="minorHAnsi" w:cstheme="minorHAnsi"/>
          <w:b/>
          <w:color w:val="4472C4" w:themeColor="accent5"/>
          <w:szCs w:val="24"/>
        </w:rPr>
      </w:pPr>
      <w:r>
        <w:rPr>
          <w:rFonts w:asciiTheme="minorHAnsi" w:hAnsiTheme="minorHAnsi" w:cstheme="minorHAnsi"/>
          <w:b/>
          <w:color w:val="4472C4" w:themeColor="accent5"/>
          <w:szCs w:val="24"/>
        </w:rPr>
        <w:t>Carni, i timori per il diffondersi dell’influenza aviaria spingono al rialzo i prezzi di pollo e tacchino</w:t>
      </w:r>
      <w:r w:rsidR="00040E0A" w:rsidRPr="0024686B">
        <w:rPr>
          <w:rFonts w:asciiTheme="minorHAnsi" w:hAnsiTheme="minorHAnsi" w:cstheme="minorHAnsi"/>
          <w:b/>
          <w:color w:val="4472C4" w:themeColor="accent5"/>
          <w:szCs w:val="24"/>
        </w:rPr>
        <w:t>.</w:t>
      </w:r>
    </w:p>
    <w:p w14:paraId="54E3F01C" w14:textId="53BFD25A" w:rsidR="001441D7" w:rsidRDefault="00AB573C" w:rsidP="00BE685F">
      <w:pPr>
        <w:spacing w:after="120" w:line="276" w:lineRule="auto"/>
        <w:rPr>
          <w:rFonts w:ascii="Calibri" w:eastAsia="Calibri" w:hAnsi="Calibri"/>
          <w:sz w:val="22"/>
          <w:szCs w:val="22"/>
          <w:lang w:eastAsia="en-US"/>
        </w:rPr>
      </w:pPr>
      <w:r>
        <w:rPr>
          <w:rFonts w:ascii="Calibri" w:eastAsia="Calibri" w:hAnsi="Calibri"/>
          <w:sz w:val="22"/>
          <w:szCs w:val="22"/>
          <w:lang w:eastAsia="en-US"/>
        </w:rPr>
        <w:t xml:space="preserve">A novembre i prezzi all’ingrosso delle carni hanno </w:t>
      </w:r>
      <w:r w:rsidR="000A498A">
        <w:rPr>
          <w:rFonts w:ascii="Calibri" w:eastAsia="Calibri" w:hAnsi="Calibri"/>
          <w:sz w:val="22"/>
          <w:szCs w:val="22"/>
          <w:lang w:eastAsia="en-US"/>
        </w:rPr>
        <w:t>registrato</w:t>
      </w:r>
      <w:r>
        <w:rPr>
          <w:rFonts w:ascii="Calibri" w:eastAsia="Calibri" w:hAnsi="Calibri"/>
          <w:sz w:val="22"/>
          <w:szCs w:val="22"/>
          <w:lang w:eastAsia="en-US"/>
        </w:rPr>
        <w:t xml:space="preserve"> un ulteriore rincaro</w:t>
      </w:r>
      <w:r w:rsidR="00900FE3">
        <w:rPr>
          <w:rFonts w:ascii="Calibri" w:eastAsia="Calibri" w:hAnsi="Calibri"/>
          <w:sz w:val="22"/>
          <w:szCs w:val="22"/>
          <w:lang w:eastAsia="en-US"/>
        </w:rPr>
        <w:t xml:space="preserve"> mensile</w:t>
      </w:r>
      <w:r w:rsidR="005A3377">
        <w:rPr>
          <w:rFonts w:ascii="Calibri" w:eastAsia="Calibri" w:hAnsi="Calibri"/>
          <w:sz w:val="22"/>
          <w:szCs w:val="22"/>
          <w:lang w:eastAsia="en-US"/>
        </w:rPr>
        <w:t xml:space="preserve"> (+3,7%)</w:t>
      </w:r>
      <w:r>
        <w:rPr>
          <w:rFonts w:ascii="Calibri" w:eastAsia="Calibri" w:hAnsi="Calibri"/>
          <w:sz w:val="22"/>
          <w:szCs w:val="22"/>
          <w:lang w:eastAsia="en-US"/>
        </w:rPr>
        <w:t xml:space="preserve">, il quarto consecutivo. </w:t>
      </w:r>
      <w:r w:rsidR="00900FE3">
        <w:rPr>
          <w:rFonts w:ascii="Calibri" w:eastAsia="Calibri" w:hAnsi="Calibri"/>
          <w:sz w:val="22"/>
          <w:szCs w:val="22"/>
          <w:lang w:eastAsia="en-US"/>
        </w:rPr>
        <w:t xml:space="preserve">Se a settembre e ottobre la crescita era stata guidata </w:t>
      </w:r>
      <w:r w:rsidR="000A498A">
        <w:rPr>
          <w:rFonts w:ascii="Calibri" w:eastAsia="Calibri" w:hAnsi="Calibri"/>
          <w:sz w:val="22"/>
          <w:szCs w:val="22"/>
          <w:lang w:eastAsia="en-US"/>
        </w:rPr>
        <w:t xml:space="preserve">principalmente </w:t>
      </w:r>
      <w:r w:rsidR="00900FE3">
        <w:rPr>
          <w:rFonts w:ascii="Calibri" w:eastAsia="Calibri" w:hAnsi="Calibri"/>
          <w:sz w:val="22"/>
          <w:szCs w:val="22"/>
          <w:lang w:eastAsia="en-US"/>
        </w:rPr>
        <w:t xml:space="preserve">dalle carni bovine, a novembre </w:t>
      </w:r>
      <w:r w:rsidR="00736234">
        <w:rPr>
          <w:rFonts w:ascii="Calibri" w:eastAsia="Calibri" w:hAnsi="Calibri"/>
          <w:sz w:val="22"/>
          <w:szCs w:val="22"/>
          <w:lang w:eastAsia="en-US"/>
        </w:rPr>
        <w:t>i</w:t>
      </w:r>
      <w:r w:rsidR="008571CA">
        <w:rPr>
          <w:rFonts w:ascii="Calibri" w:eastAsia="Calibri" w:hAnsi="Calibri"/>
          <w:sz w:val="22"/>
          <w:szCs w:val="22"/>
          <w:lang w:eastAsia="en-US"/>
        </w:rPr>
        <w:t xml:space="preserve"> prezzi del comparto </w:t>
      </w:r>
      <w:r w:rsidR="00736234">
        <w:rPr>
          <w:rFonts w:ascii="Calibri" w:eastAsia="Calibri" w:hAnsi="Calibri"/>
          <w:sz w:val="22"/>
          <w:szCs w:val="22"/>
          <w:lang w:eastAsia="en-US"/>
        </w:rPr>
        <w:t>sono stati trainati</w:t>
      </w:r>
      <w:r w:rsidR="008571CA">
        <w:rPr>
          <w:rFonts w:ascii="Calibri" w:eastAsia="Calibri" w:hAnsi="Calibri"/>
          <w:sz w:val="22"/>
          <w:szCs w:val="22"/>
          <w:lang w:eastAsia="en-US"/>
        </w:rPr>
        <w:t xml:space="preserve"> </w:t>
      </w:r>
      <w:r w:rsidR="00643533">
        <w:rPr>
          <w:rFonts w:ascii="Calibri" w:eastAsia="Calibri" w:hAnsi="Calibri"/>
          <w:sz w:val="22"/>
          <w:szCs w:val="22"/>
          <w:lang w:eastAsia="en-US"/>
        </w:rPr>
        <w:t>anche</w:t>
      </w:r>
      <w:r w:rsidR="00461BDD">
        <w:rPr>
          <w:rFonts w:ascii="Calibri" w:eastAsia="Calibri" w:hAnsi="Calibri"/>
          <w:sz w:val="22"/>
          <w:szCs w:val="22"/>
          <w:lang w:eastAsia="en-US"/>
        </w:rPr>
        <w:t xml:space="preserve"> </w:t>
      </w:r>
      <w:r w:rsidR="008571CA">
        <w:rPr>
          <w:rFonts w:ascii="Calibri" w:eastAsia="Calibri" w:hAnsi="Calibri"/>
          <w:sz w:val="22"/>
          <w:szCs w:val="22"/>
          <w:lang w:eastAsia="en-US"/>
        </w:rPr>
        <w:t xml:space="preserve">dagli </w:t>
      </w:r>
      <w:r w:rsidR="00461BDD">
        <w:rPr>
          <w:rFonts w:ascii="Calibri" w:eastAsia="Calibri" w:hAnsi="Calibri"/>
          <w:sz w:val="22"/>
          <w:szCs w:val="22"/>
          <w:lang w:eastAsia="en-US"/>
        </w:rPr>
        <w:t>aumenti</w:t>
      </w:r>
      <w:r w:rsidR="008571CA">
        <w:rPr>
          <w:rFonts w:ascii="Calibri" w:eastAsia="Calibri" w:hAnsi="Calibri"/>
          <w:sz w:val="22"/>
          <w:szCs w:val="22"/>
          <w:lang w:eastAsia="en-US"/>
        </w:rPr>
        <w:t xml:space="preserve"> </w:t>
      </w:r>
      <w:r w:rsidR="000A498A">
        <w:rPr>
          <w:rFonts w:ascii="Calibri" w:eastAsia="Calibri" w:hAnsi="Calibri"/>
          <w:sz w:val="22"/>
          <w:szCs w:val="22"/>
          <w:lang w:eastAsia="en-US"/>
        </w:rPr>
        <w:t xml:space="preserve">rilevati per le </w:t>
      </w:r>
      <w:r w:rsidR="000A498A" w:rsidRPr="00660140">
        <w:rPr>
          <w:rFonts w:ascii="Calibri" w:eastAsia="Calibri" w:hAnsi="Calibri"/>
          <w:b/>
          <w:bCs/>
          <w:sz w:val="22"/>
          <w:szCs w:val="22"/>
          <w:lang w:eastAsia="en-US"/>
        </w:rPr>
        <w:t xml:space="preserve">carni di </w:t>
      </w:r>
      <w:r w:rsidR="00461BDD" w:rsidRPr="00660140">
        <w:rPr>
          <w:rFonts w:ascii="Calibri" w:eastAsia="Calibri" w:hAnsi="Calibri"/>
          <w:b/>
          <w:bCs/>
          <w:sz w:val="22"/>
          <w:szCs w:val="22"/>
          <w:lang w:eastAsia="en-US"/>
        </w:rPr>
        <w:t>pollame</w:t>
      </w:r>
      <w:r w:rsidR="00735F59">
        <w:rPr>
          <w:rFonts w:ascii="Calibri" w:eastAsia="Calibri" w:hAnsi="Calibri"/>
          <w:sz w:val="22"/>
          <w:szCs w:val="22"/>
          <w:lang w:eastAsia="en-US"/>
        </w:rPr>
        <w:t xml:space="preserve">. </w:t>
      </w:r>
      <w:r w:rsidR="0018145B">
        <w:rPr>
          <w:rFonts w:ascii="Calibri" w:eastAsia="Calibri" w:hAnsi="Calibri"/>
          <w:sz w:val="22"/>
          <w:szCs w:val="22"/>
          <w:lang w:eastAsia="en-US"/>
        </w:rPr>
        <w:t xml:space="preserve">I casi di </w:t>
      </w:r>
      <w:r w:rsidR="00735F59">
        <w:rPr>
          <w:rFonts w:ascii="Calibri" w:eastAsia="Calibri" w:hAnsi="Calibri"/>
          <w:sz w:val="22"/>
          <w:szCs w:val="22"/>
          <w:lang w:eastAsia="en-US"/>
        </w:rPr>
        <w:t xml:space="preserve">influenza aviaria nel Nord Italia e </w:t>
      </w:r>
      <w:r w:rsidR="00736234">
        <w:rPr>
          <w:rFonts w:ascii="Calibri" w:eastAsia="Calibri" w:hAnsi="Calibri"/>
          <w:sz w:val="22"/>
          <w:szCs w:val="22"/>
          <w:lang w:eastAsia="en-US"/>
        </w:rPr>
        <w:t>la</w:t>
      </w:r>
      <w:r w:rsidR="00735F59">
        <w:rPr>
          <w:rFonts w:ascii="Calibri" w:eastAsia="Calibri" w:hAnsi="Calibri"/>
          <w:sz w:val="22"/>
          <w:szCs w:val="22"/>
          <w:lang w:eastAsia="en-US"/>
        </w:rPr>
        <w:t xml:space="preserve"> conseguente </w:t>
      </w:r>
      <w:r w:rsidR="00736234">
        <w:rPr>
          <w:rFonts w:ascii="Calibri" w:eastAsia="Calibri" w:hAnsi="Calibri"/>
          <w:sz w:val="22"/>
          <w:szCs w:val="22"/>
          <w:lang w:eastAsia="en-US"/>
        </w:rPr>
        <w:t xml:space="preserve">necessità di abbattere i capi colpiti dall’infezione ha provocato una contrazione dell’offerta nel circuito del vivo, su livelli inferiori alla domanda, e questo ha impresso </w:t>
      </w:r>
      <w:r w:rsidR="00461BDD">
        <w:rPr>
          <w:rFonts w:ascii="Calibri" w:eastAsia="Calibri" w:hAnsi="Calibri"/>
          <w:sz w:val="22"/>
          <w:szCs w:val="22"/>
          <w:lang w:eastAsia="en-US"/>
        </w:rPr>
        <w:t xml:space="preserve">un </w:t>
      </w:r>
      <w:r w:rsidR="0037333D">
        <w:rPr>
          <w:rFonts w:ascii="Calibri" w:eastAsia="Calibri" w:hAnsi="Calibri"/>
          <w:sz w:val="22"/>
          <w:szCs w:val="22"/>
          <w:lang w:eastAsia="en-US"/>
        </w:rPr>
        <w:t xml:space="preserve">rialzo </w:t>
      </w:r>
      <w:r w:rsidR="00461BDD">
        <w:rPr>
          <w:rFonts w:ascii="Calibri" w:eastAsia="Calibri" w:hAnsi="Calibri"/>
          <w:sz w:val="22"/>
          <w:szCs w:val="22"/>
          <w:lang w:eastAsia="en-US"/>
        </w:rPr>
        <w:t xml:space="preserve">consistente ai </w:t>
      </w:r>
      <w:r w:rsidR="00643533">
        <w:rPr>
          <w:rFonts w:ascii="Calibri" w:eastAsia="Calibri" w:hAnsi="Calibri"/>
          <w:sz w:val="22"/>
          <w:szCs w:val="22"/>
          <w:lang w:eastAsia="en-US"/>
        </w:rPr>
        <w:t>listini delle Camere di Commercio</w:t>
      </w:r>
      <w:r w:rsidR="00461BDD">
        <w:rPr>
          <w:rFonts w:ascii="Calibri" w:eastAsia="Calibri" w:hAnsi="Calibri"/>
          <w:sz w:val="22"/>
          <w:szCs w:val="22"/>
          <w:lang w:eastAsia="en-US"/>
        </w:rPr>
        <w:t xml:space="preserve"> </w:t>
      </w:r>
      <w:r w:rsidR="00BD3154">
        <w:rPr>
          <w:rFonts w:ascii="Calibri" w:eastAsia="Calibri" w:hAnsi="Calibri"/>
          <w:sz w:val="22"/>
          <w:szCs w:val="22"/>
          <w:lang w:eastAsia="en-US"/>
        </w:rPr>
        <w:t xml:space="preserve">sia </w:t>
      </w:r>
      <w:r w:rsidR="00643533">
        <w:rPr>
          <w:rFonts w:ascii="Calibri" w:eastAsia="Calibri" w:hAnsi="Calibri"/>
          <w:sz w:val="22"/>
          <w:szCs w:val="22"/>
          <w:lang w:eastAsia="en-US"/>
        </w:rPr>
        <w:t>per i</w:t>
      </w:r>
      <w:r w:rsidR="00BD3154">
        <w:rPr>
          <w:rFonts w:ascii="Calibri" w:eastAsia="Calibri" w:hAnsi="Calibri"/>
          <w:sz w:val="22"/>
          <w:szCs w:val="22"/>
          <w:lang w:eastAsia="en-US"/>
        </w:rPr>
        <w:t xml:space="preserve"> polli e </w:t>
      </w:r>
      <w:r w:rsidR="00643533">
        <w:rPr>
          <w:rFonts w:ascii="Calibri" w:eastAsia="Calibri" w:hAnsi="Calibri"/>
          <w:sz w:val="22"/>
          <w:szCs w:val="22"/>
          <w:lang w:eastAsia="en-US"/>
        </w:rPr>
        <w:t xml:space="preserve">i </w:t>
      </w:r>
      <w:r w:rsidR="00BD3154">
        <w:rPr>
          <w:rFonts w:ascii="Calibri" w:eastAsia="Calibri" w:hAnsi="Calibri"/>
          <w:sz w:val="22"/>
          <w:szCs w:val="22"/>
          <w:lang w:eastAsia="en-US"/>
        </w:rPr>
        <w:t xml:space="preserve">tacchini che </w:t>
      </w:r>
      <w:r w:rsidR="00643533">
        <w:rPr>
          <w:rFonts w:ascii="Calibri" w:eastAsia="Calibri" w:hAnsi="Calibri"/>
          <w:sz w:val="22"/>
          <w:szCs w:val="22"/>
          <w:lang w:eastAsia="en-US"/>
        </w:rPr>
        <w:t>per le</w:t>
      </w:r>
      <w:r w:rsidR="00BD3154">
        <w:rPr>
          <w:rFonts w:ascii="Calibri" w:eastAsia="Calibri" w:hAnsi="Calibri"/>
          <w:sz w:val="22"/>
          <w:szCs w:val="22"/>
          <w:lang w:eastAsia="en-US"/>
        </w:rPr>
        <w:t xml:space="preserve"> relative carni. In particolare, rispetto a ottobre i prezzi </w:t>
      </w:r>
      <w:r w:rsidR="00643533">
        <w:rPr>
          <w:rFonts w:ascii="Calibri" w:eastAsia="Calibri" w:hAnsi="Calibri"/>
          <w:sz w:val="22"/>
          <w:szCs w:val="22"/>
          <w:lang w:eastAsia="en-US"/>
        </w:rPr>
        <w:t xml:space="preserve">all’ingrosso </w:t>
      </w:r>
      <w:r w:rsidR="00BD3154">
        <w:rPr>
          <w:rFonts w:ascii="Calibri" w:eastAsia="Calibri" w:hAnsi="Calibri"/>
          <w:sz w:val="22"/>
          <w:szCs w:val="22"/>
          <w:lang w:eastAsia="en-US"/>
        </w:rPr>
        <w:t>della carne di tacchino sono cresciuti del +10,4% e quelli della carne di pollo del +7,3%</w:t>
      </w:r>
      <w:r w:rsidR="00D0660C">
        <w:rPr>
          <w:rFonts w:ascii="Calibri" w:eastAsia="Calibri" w:hAnsi="Calibri"/>
          <w:sz w:val="22"/>
          <w:szCs w:val="22"/>
          <w:lang w:eastAsia="en-US"/>
        </w:rPr>
        <w:t xml:space="preserve">. </w:t>
      </w:r>
      <w:r w:rsidR="001E7334">
        <w:rPr>
          <w:rFonts w:ascii="Calibri" w:eastAsia="Calibri" w:hAnsi="Calibri"/>
          <w:sz w:val="22"/>
          <w:szCs w:val="22"/>
          <w:lang w:eastAsia="en-US"/>
        </w:rPr>
        <w:t xml:space="preserve">Le quotazioni attuali si attestano su livelli elevati, in crescita sia rispetto allo scorso anno che rispetto al 2019 (+32,4% per il  pollo, +6,7% per il tacchino). </w:t>
      </w:r>
    </w:p>
    <w:p w14:paraId="32456F2F" w14:textId="6394E709" w:rsidR="001441D7" w:rsidRDefault="00E52518" w:rsidP="00BE685F">
      <w:pPr>
        <w:spacing w:after="120" w:line="276" w:lineRule="auto"/>
        <w:rPr>
          <w:rFonts w:ascii="Calibri" w:eastAsia="Calibri" w:hAnsi="Calibri"/>
          <w:sz w:val="22"/>
          <w:szCs w:val="22"/>
          <w:lang w:eastAsia="en-US"/>
        </w:rPr>
      </w:pPr>
      <w:r>
        <w:rPr>
          <w:rFonts w:ascii="Calibri" w:eastAsia="Calibri" w:hAnsi="Calibri"/>
          <w:sz w:val="22"/>
          <w:szCs w:val="22"/>
          <w:lang w:eastAsia="en-US"/>
        </w:rPr>
        <w:t xml:space="preserve">Si confermano in rialzo </w:t>
      </w:r>
      <w:r w:rsidR="0047266A">
        <w:rPr>
          <w:rFonts w:ascii="Calibri" w:eastAsia="Calibri" w:hAnsi="Calibri"/>
          <w:sz w:val="22"/>
          <w:szCs w:val="22"/>
          <w:lang w:eastAsia="en-US"/>
        </w:rPr>
        <w:t xml:space="preserve">i prezzi della </w:t>
      </w:r>
      <w:r w:rsidR="0047266A" w:rsidRPr="00572306">
        <w:rPr>
          <w:rFonts w:ascii="Calibri" w:eastAsia="Calibri" w:hAnsi="Calibri"/>
          <w:b/>
          <w:bCs/>
          <w:sz w:val="22"/>
          <w:szCs w:val="22"/>
          <w:lang w:eastAsia="en-US"/>
        </w:rPr>
        <w:t>carne di coniglio</w:t>
      </w:r>
      <w:r w:rsidRPr="00E52518">
        <w:rPr>
          <w:rFonts w:ascii="Calibri" w:eastAsia="Calibri" w:hAnsi="Calibri"/>
          <w:sz w:val="22"/>
          <w:szCs w:val="22"/>
          <w:lang w:eastAsia="en-US"/>
        </w:rPr>
        <w:t>, sostenuti dalla domanda. L</w:t>
      </w:r>
      <w:r w:rsidR="0047266A" w:rsidRPr="00E52518">
        <w:rPr>
          <w:rFonts w:ascii="Calibri" w:eastAsia="Calibri" w:hAnsi="Calibri"/>
          <w:sz w:val="22"/>
          <w:szCs w:val="22"/>
          <w:lang w:eastAsia="en-US"/>
        </w:rPr>
        <w:t xml:space="preserve">’incremento messo a segno a novembre </w:t>
      </w:r>
      <w:r w:rsidR="00572306">
        <w:rPr>
          <w:rFonts w:ascii="Calibri" w:eastAsia="Calibri" w:hAnsi="Calibri"/>
          <w:sz w:val="22"/>
          <w:szCs w:val="22"/>
          <w:lang w:eastAsia="en-US"/>
        </w:rPr>
        <w:t xml:space="preserve">(+6,4%) </w:t>
      </w:r>
      <w:r w:rsidR="0047266A">
        <w:rPr>
          <w:rFonts w:ascii="Calibri" w:eastAsia="Calibri" w:hAnsi="Calibri"/>
          <w:sz w:val="22"/>
          <w:szCs w:val="22"/>
          <w:lang w:eastAsia="en-US"/>
        </w:rPr>
        <w:t xml:space="preserve">ha rappresentato il quarto aumento </w:t>
      </w:r>
      <w:r w:rsidR="0037333D">
        <w:rPr>
          <w:rFonts w:ascii="Calibri" w:eastAsia="Calibri" w:hAnsi="Calibri"/>
          <w:sz w:val="22"/>
          <w:szCs w:val="22"/>
          <w:lang w:eastAsia="en-US"/>
        </w:rPr>
        <w:t xml:space="preserve">mensile </w:t>
      </w:r>
      <w:r w:rsidR="0047266A">
        <w:rPr>
          <w:rFonts w:ascii="Calibri" w:eastAsia="Calibri" w:hAnsi="Calibri"/>
          <w:sz w:val="22"/>
          <w:szCs w:val="22"/>
          <w:lang w:eastAsia="en-US"/>
        </w:rPr>
        <w:t>consecutivo</w:t>
      </w:r>
      <w:r>
        <w:rPr>
          <w:rFonts w:ascii="Calibri" w:eastAsia="Calibri" w:hAnsi="Calibri"/>
          <w:sz w:val="22"/>
          <w:szCs w:val="22"/>
          <w:lang w:eastAsia="en-US"/>
        </w:rPr>
        <w:t xml:space="preserve">. Si è così ampliata </w:t>
      </w:r>
      <w:r w:rsidR="00F817F3">
        <w:rPr>
          <w:rFonts w:ascii="Calibri" w:eastAsia="Calibri" w:hAnsi="Calibri"/>
          <w:sz w:val="22"/>
          <w:szCs w:val="22"/>
          <w:lang w:eastAsia="en-US"/>
        </w:rPr>
        <w:t>la crescita su base annua (dal +1,4% di ottobre al +6,3% di novembre), nonostante rispetto al 2019 i prezzi attuali rimangono più bassi del 10% circa.</w:t>
      </w:r>
    </w:p>
    <w:p w14:paraId="212F5AFF" w14:textId="03FA95EE" w:rsidR="00AB573C" w:rsidRDefault="001441D7" w:rsidP="00BE685F">
      <w:pPr>
        <w:spacing w:after="120" w:line="276" w:lineRule="auto"/>
        <w:rPr>
          <w:rFonts w:ascii="Calibri" w:eastAsia="Calibri" w:hAnsi="Calibri"/>
          <w:sz w:val="22"/>
          <w:szCs w:val="22"/>
          <w:lang w:eastAsia="en-US"/>
        </w:rPr>
      </w:pPr>
      <w:r>
        <w:rPr>
          <w:rFonts w:ascii="Calibri" w:eastAsia="Calibri" w:hAnsi="Calibri"/>
          <w:sz w:val="22"/>
          <w:szCs w:val="22"/>
          <w:lang w:eastAsia="en-US"/>
        </w:rPr>
        <w:t>Tra le carni rosse, è</w:t>
      </w:r>
      <w:r w:rsidR="00660140">
        <w:rPr>
          <w:rFonts w:ascii="Calibri" w:eastAsia="Calibri" w:hAnsi="Calibri"/>
          <w:sz w:val="22"/>
          <w:szCs w:val="22"/>
          <w:lang w:eastAsia="en-US"/>
        </w:rPr>
        <w:t xml:space="preserve"> proseguita la crescita delle </w:t>
      </w:r>
      <w:r w:rsidR="00660140" w:rsidRPr="00B90F35">
        <w:rPr>
          <w:rFonts w:ascii="Calibri" w:eastAsia="Calibri" w:hAnsi="Calibri"/>
          <w:b/>
          <w:bCs/>
          <w:sz w:val="22"/>
          <w:szCs w:val="22"/>
          <w:lang w:eastAsia="en-US"/>
        </w:rPr>
        <w:t>carni bovine</w:t>
      </w:r>
      <w:r w:rsidR="00660140">
        <w:rPr>
          <w:rFonts w:ascii="Calibri" w:eastAsia="Calibri" w:hAnsi="Calibri"/>
          <w:sz w:val="22"/>
          <w:szCs w:val="22"/>
          <w:lang w:eastAsia="en-US"/>
        </w:rPr>
        <w:t xml:space="preserve">, </w:t>
      </w:r>
      <w:r w:rsidR="00B90F35">
        <w:rPr>
          <w:rFonts w:ascii="Calibri" w:eastAsia="Calibri" w:hAnsi="Calibri"/>
          <w:sz w:val="22"/>
          <w:szCs w:val="22"/>
          <w:lang w:eastAsia="en-US"/>
        </w:rPr>
        <w:t xml:space="preserve">i cui prezzi hanno continuato a beneficiare del buon andamento della domanda. A spuntare il rincaro mensile più accentuato è stata la carne di bovino adulto, con un +7,5%, a fronte del +4,6% rilevato per la carne di vitello. </w:t>
      </w:r>
      <w:r w:rsidR="00F817F3">
        <w:rPr>
          <w:rFonts w:ascii="Calibri" w:eastAsia="Calibri" w:hAnsi="Calibri"/>
          <w:sz w:val="22"/>
          <w:szCs w:val="22"/>
          <w:lang w:eastAsia="en-US"/>
        </w:rPr>
        <w:t>Per entrambe l’aumento rispetto ad un anno fa è a doppia cifra (+10,2% per il bovino adulto, +19,2% per il vitello).</w:t>
      </w:r>
      <w:r w:rsidR="00A27375">
        <w:rPr>
          <w:rFonts w:ascii="Calibri" w:eastAsia="Calibri" w:hAnsi="Calibri"/>
          <w:sz w:val="22"/>
          <w:szCs w:val="22"/>
          <w:lang w:eastAsia="en-US"/>
        </w:rPr>
        <w:t xml:space="preserve"> </w:t>
      </w:r>
      <w:r w:rsidR="00AF57E3">
        <w:rPr>
          <w:rFonts w:ascii="Calibri" w:eastAsia="Calibri" w:hAnsi="Calibri"/>
          <w:sz w:val="22"/>
          <w:szCs w:val="22"/>
          <w:lang w:eastAsia="en-US"/>
        </w:rPr>
        <w:t xml:space="preserve">Novembre ha mostrato un’attenuazione del calo dei prezzi dei </w:t>
      </w:r>
      <w:r w:rsidR="00AF57E3" w:rsidRPr="00D81970">
        <w:rPr>
          <w:rFonts w:ascii="Calibri" w:eastAsia="Calibri" w:hAnsi="Calibri"/>
          <w:b/>
          <w:bCs/>
          <w:sz w:val="22"/>
          <w:szCs w:val="22"/>
          <w:lang w:eastAsia="en-US"/>
        </w:rPr>
        <w:t xml:space="preserve">tagli suini </w:t>
      </w:r>
      <w:r w:rsidR="00AF57E3">
        <w:rPr>
          <w:rFonts w:ascii="Calibri" w:eastAsia="Calibri" w:hAnsi="Calibri"/>
          <w:sz w:val="22"/>
          <w:szCs w:val="22"/>
          <w:lang w:eastAsia="en-US"/>
        </w:rPr>
        <w:t>destinati al consumo fresco</w:t>
      </w:r>
      <w:r w:rsidR="00D81970">
        <w:rPr>
          <w:rFonts w:ascii="Calibri" w:eastAsia="Calibri" w:hAnsi="Calibri"/>
          <w:sz w:val="22"/>
          <w:szCs w:val="22"/>
          <w:lang w:eastAsia="en-US"/>
        </w:rPr>
        <w:t xml:space="preserve"> (lombi, coppe)</w:t>
      </w:r>
      <w:r w:rsidR="00AF57E3">
        <w:rPr>
          <w:rFonts w:ascii="Calibri" w:eastAsia="Calibri" w:hAnsi="Calibri"/>
          <w:sz w:val="22"/>
          <w:szCs w:val="22"/>
          <w:lang w:eastAsia="en-US"/>
        </w:rPr>
        <w:t>, che</w:t>
      </w:r>
      <w:r w:rsidR="0037333D">
        <w:rPr>
          <w:rFonts w:ascii="Calibri" w:eastAsia="Calibri" w:hAnsi="Calibri"/>
          <w:sz w:val="22"/>
          <w:szCs w:val="22"/>
          <w:lang w:eastAsia="en-US"/>
        </w:rPr>
        <w:t>,</w:t>
      </w:r>
      <w:r w:rsidR="00AF57E3">
        <w:rPr>
          <w:rFonts w:ascii="Calibri" w:eastAsia="Calibri" w:hAnsi="Calibri"/>
          <w:sz w:val="22"/>
          <w:szCs w:val="22"/>
          <w:lang w:eastAsia="en-US"/>
        </w:rPr>
        <w:t xml:space="preserve"> dopo il -11,3% accusato a ottobre</w:t>
      </w:r>
      <w:r w:rsidR="0037333D">
        <w:rPr>
          <w:rFonts w:ascii="Calibri" w:eastAsia="Calibri" w:hAnsi="Calibri"/>
          <w:sz w:val="22"/>
          <w:szCs w:val="22"/>
          <w:lang w:eastAsia="en-US"/>
        </w:rPr>
        <w:t>,</w:t>
      </w:r>
      <w:r w:rsidR="00AF57E3">
        <w:rPr>
          <w:rFonts w:ascii="Calibri" w:eastAsia="Calibri" w:hAnsi="Calibri"/>
          <w:sz w:val="22"/>
          <w:szCs w:val="22"/>
          <w:lang w:eastAsia="en-US"/>
        </w:rPr>
        <w:t xml:space="preserve"> hanno registrato un -1,3%. L’effetto confronto con il forte calo che si era registrato </w:t>
      </w:r>
      <w:r w:rsidR="00AF57E3">
        <w:rPr>
          <w:rFonts w:ascii="Calibri" w:eastAsia="Calibri" w:hAnsi="Calibri"/>
          <w:sz w:val="22"/>
          <w:szCs w:val="22"/>
          <w:lang w:eastAsia="en-US"/>
        </w:rPr>
        <w:lastRenderedPageBreak/>
        <w:t xml:space="preserve">a novembre 2020 ha consentito alla variazione tendenziale di riportarsi in territorio positivo (+6,3%). Rispetto al periodo </w:t>
      </w:r>
      <w:proofErr w:type="spellStart"/>
      <w:r w:rsidR="00AF57E3">
        <w:rPr>
          <w:rFonts w:ascii="Calibri" w:eastAsia="Calibri" w:hAnsi="Calibri"/>
          <w:sz w:val="22"/>
          <w:szCs w:val="22"/>
          <w:lang w:eastAsia="en-US"/>
        </w:rPr>
        <w:t>pre</w:t>
      </w:r>
      <w:proofErr w:type="spellEnd"/>
      <w:r w:rsidR="00AF57E3">
        <w:rPr>
          <w:rFonts w:ascii="Calibri" w:eastAsia="Calibri" w:hAnsi="Calibri"/>
          <w:sz w:val="22"/>
          <w:szCs w:val="22"/>
          <w:lang w:eastAsia="en-US"/>
        </w:rPr>
        <w:t xml:space="preserve">-Covid i prezzi </w:t>
      </w:r>
      <w:r w:rsidR="00D81970">
        <w:rPr>
          <w:rFonts w:ascii="Calibri" w:eastAsia="Calibri" w:hAnsi="Calibri"/>
          <w:sz w:val="22"/>
          <w:szCs w:val="22"/>
          <w:lang w:eastAsia="en-US"/>
        </w:rPr>
        <w:t>rimangono però più bassi di quasi il 12%.</w:t>
      </w:r>
    </w:p>
    <w:p w14:paraId="18EE9FB5" w14:textId="77777777" w:rsidR="00D37372" w:rsidRPr="00D37372" w:rsidRDefault="00D37372" w:rsidP="00D37372">
      <w:pPr>
        <w:spacing w:line="276" w:lineRule="auto"/>
        <w:rPr>
          <w:rFonts w:asciiTheme="minorHAnsi" w:hAnsiTheme="minorHAnsi" w:cstheme="minorHAnsi"/>
          <w:b/>
          <w:color w:val="4472C4" w:themeColor="accent5"/>
          <w:szCs w:val="24"/>
        </w:rPr>
      </w:pPr>
      <w:r w:rsidRPr="00D37372">
        <w:rPr>
          <w:rFonts w:asciiTheme="minorHAnsi" w:hAnsiTheme="minorHAnsi" w:cstheme="minorHAnsi"/>
          <w:b/>
          <w:color w:val="4472C4" w:themeColor="accent5"/>
          <w:szCs w:val="24"/>
        </w:rPr>
        <w:t>Ortofrutta, domanda in aumento e prezzi in rialzo per melanzane, zucchine, spinaci e cetrioli.</w:t>
      </w:r>
    </w:p>
    <w:p w14:paraId="157194F5" w14:textId="77777777" w:rsidR="00D37372" w:rsidRPr="00D37372" w:rsidRDefault="00D37372" w:rsidP="00D37372">
      <w:pPr>
        <w:spacing w:after="120" w:line="276" w:lineRule="auto"/>
        <w:rPr>
          <w:rFonts w:ascii="Calibri" w:hAnsi="Calibri" w:cs="Calibri"/>
          <w:color w:val="222222"/>
          <w:sz w:val="22"/>
          <w:szCs w:val="22"/>
        </w:rPr>
      </w:pPr>
      <w:bookmarkStart w:id="9" w:name="_Hlk88391679"/>
      <w:r w:rsidRPr="00D37372">
        <w:rPr>
          <w:rFonts w:ascii="Calibri" w:hAnsi="Calibri" w:cs="Calibri"/>
          <w:color w:val="222222"/>
          <w:sz w:val="22"/>
          <w:szCs w:val="22"/>
        </w:rPr>
        <w:t>Durante il mese di novembre si sono registrati grossi eventi temporaleschi, soprattutto al sud Italia, e, verso la fine del mese, sono sopraggiunti i primi freddi: ciò ha determinato un aumento della domanda per quasi tutti gli ortaggi tipicamente invernali.</w:t>
      </w:r>
    </w:p>
    <w:p w14:paraId="416C494E" w14:textId="77777777" w:rsidR="00D37372" w:rsidRPr="00D37372" w:rsidRDefault="00D37372" w:rsidP="00D37372">
      <w:pPr>
        <w:spacing w:after="120" w:line="276" w:lineRule="auto"/>
        <w:rPr>
          <w:rFonts w:ascii="Calibri" w:hAnsi="Calibri" w:cs="Calibri"/>
          <w:color w:val="222222"/>
          <w:sz w:val="22"/>
          <w:szCs w:val="22"/>
        </w:rPr>
      </w:pPr>
      <w:r w:rsidRPr="00D37372">
        <w:rPr>
          <w:rFonts w:ascii="Calibri" w:hAnsi="Calibri" w:cs="Calibri"/>
          <w:color w:val="222222"/>
          <w:sz w:val="22"/>
          <w:szCs w:val="22"/>
        </w:rPr>
        <w:t xml:space="preserve">Stabili i prezzi degli </w:t>
      </w:r>
      <w:r w:rsidRPr="00D37372">
        <w:rPr>
          <w:rFonts w:ascii="Calibri" w:hAnsi="Calibri" w:cs="Calibri"/>
          <w:b/>
          <w:bCs/>
          <w:color w:val="222222"/>
          <w:sz w:val="22"/>
          <w:szCs w:val="22"/>
        </w:rPr>
        <w:t>agrumi</w:t>
      </w:r>
      <w:r w:rsidRPr="00D37372">
        <w:rPr>
          <w:rFonts w:ascii="Calibri" w:hAnsi="Calibri" w:cs="Calibri"/>
          <w:color w:val="222222"/>
          <w:sz w:val="22"/>
          <w:szCs w:val="22"/>
        </w:rPr>
        <w:t xml:space="preserve">, anche se rappresentano un’eccezione le </w:t>
      </w:r>
      <w:r w:rsidRPr="00D37372">
        <w:rPr>
          <w:rFonts w:ascii="Calibri" w:hAnsi="Calibri" w:cs="Calibri"/>
          <w:b/>
          <w:bCs/>
          <w:color w:val="222222"/>
          <w:sz w:val="22"/>
          <w:szCs w:val="22"/>
        </w:rPr>
        <w:t>clementine</w:t>
      </w:r>
      <w:r w:rsidRPr="00D37372">
        <w:rPr>
          <w:rFonts w:ascii="Calibri" w:hAnsi="Calibri" w:cs="Calibri"/>
          <w:color w:val="222222"/>
          <w:sz w:val="22"/>
          <w:szCs w:val="22"/>
        </w:rPr>
        <w:t xml:space="preserve"> nazionali (-32%), la cui campagna, iniziata in ritardo rispetto al 2020, è caratterizzata da grandi quantitativi e buona qualità, a fronte di un livello della domanda non ancora elevato.</w:t>
      </w:r>
    </w:p>
    <w:p w14:paraId="7245080E" w14:textId="77777777" w:rsidR="00D37372" w:rsidRPr="00D37372" w:rsidRDefault="00D37372" w:rsidP="00D37372">
      <w:pPr>
        <w:spacing w:after="120" w:line="276" w:lineRule="auto"/>
        <w:rPr>
          <w:rFonts w:ascii="Calibri" w:hAnsi="Calibri" w:cs="Calibri"/>
          <w:color w:val="222222"/>
          <w:sz w:val="22"/>
          <w:szCs w:val="22"/>
        </w:rPr>
      </w:pPr>
      <w:r w:rsidRPr="00D37372">
        <w:rPr>
          <w:rFonts w:ascii="Calibri" w:hAnsi="Calibri" w:cs="Calibri"/>
          <w:color w:val="222222"/>
          <w:sz w:val="22"/>
          <w:szCs w:val="22"/>
        </w:rPr>
        <w:t xml:space="preserve">Per la frutta a breve conservazione si segnalano aumenti per le </w:t>
      </w:r>
      <w:r w:rsidRPr="00D37372">
        <w:rPr>
          <w:rFonts w:ascii="Calibri" w:hAnsi="Calibri" w:cs="Calibri"/>
          <w:b/>
          <w:bCs/>
          <w:color w:val="222222"/>
          <w:sz w:val="22"/>
          <w:szCs w:val="22"/>
        </w:rPr>
        <w:t>fragole</w:t>
      </w:r>
      <w:r w:rsidRPr="00D37372">
        <w:rPr>
          <w:rFonts w:ascii="Calibri" w:hAnsi="Calibri" w:cs="Calibri"/>
          <w:color w:val="222222"/>
          <w:sz w:val="22"/>
          <w:szCs w:val="22"/>
        </w:rPr>
        <w:t xml:space="preserve"> precoci (18,5%), anche rispetto allo scorso anno: i quantitativi raccolti sono, infatti, inferiori rispetto al 2020.</w:t>
      </w:r>
    </w:p>
    <w:p w14:paraId="5D52EF4E" w14:textId="77777777" w:rsidR="00D37372" w:rsidRPr="00D37372" w:rsidRDefault="00D37372" w:rsidP="00D37372">
      <w:pPr>
        <w:shd w:val="clear" w:color="auto" w:fill="FFFFFF"/>
        <w:spacing w:after="120" w:line="276" w:lineRule="auto"/>
        <w:rPr>
          <w:rFonts w:ascii="Calibri" w:hAnsi="Calibri" w:cs="Calibri"/>
          <w:color w:val="222222"/>
          <w:sz w:val="22"/>
          <w:szCs w:val="22"/>
        </w:rPr>
      </w:pPr>
      <w:r w:rsidRPr="00D37372">
        <w:rPr>
          <w:rFonts w:ascii="Calibri" w:hAnsi="Calibri" w:cs="Calibri"/>
          <w:color w:val="222222"/>
          <w:sz w:val="22"/>
          <w:szCs w:val="22"/>
        </w:rPr>
        <w:t>I costi di gestione incrementati per la coltura protetta e la minor disponibilità del prodotto proveniente dal centro e sud Italia, a fronte di un livello della domanda piuttosto alto, hanno portato ad un aumento delle quotazioni</w:t>
      </w:r>
      <w:r>
        <w:rPr>
          <w:rFonts w:ascii="Calibri" w:hAnsi="Calibri" w:cs="Calibri"/>
          <w:color w:val="222222"/>
          <w:sz w:val="22"/>
          <w:szCs w:val="22"/>
        </w:rPr>
        <w:t xml:space="preserve"> </w:t>
      </w:r>
      <w:r w:rsidRPr="00D37372">
        <w:rPr>
          <w:rFonts w:ascii="Calibri" w:hAnsi="Calibri" w:cs="Calibri"/>
          <w:color w:val="222222"/>
          <w:sz w:val="22"/>
          <w:szCs w:val="22"/>
        </w:rPr>
        <w:t>per</w:t>
      </w:r>
      <w:r>
        <w:rPr>
          <w:rFonts w:ascii="Calibri" w:hAnsi="Calibri" w:cs="Calibri"/>
          <w:b/>
          <w:bCs/>
          <w:color w:val="222222"/>
          <w:sz w:val="22"/>
          <w:szCs w:val="22"/>
        </w:rPr>
        <w:t xml:space="preserve"> </w:t>
      </w:r>
      <w:r w:rsidRPr="00D37372">
        <w:rPr>
          <w:rFonts w:ascii="Calibri" w:hAnsi="Calibri" w:cs="Calibri"/>
          <w:b/>
          <w:bCs/>
          <w:color w:val="222222"/>
          <w:sz w:val="22"/>
          <w:szCs w:val="22"/>
        </w:rPr>
        <w:t>cetrioli</w:t>
      </w:r>
      <w:r>
        <w:rPr>
          <w:rFonts w:ascii="Calibri" w:hAnsi="Calibri" w:cs="Calibri"/>
          <w:color w:val="222222"/>
          <w:sz w:val="22"/>
          <w:szCs w:val="22"/>
        </w:rPr>
        <w:t xml:space="preserve"> </w:t>
      </w:r>
      <w:r w:rsidRPr="00D37372">
        <w:rPr>
          <w:rFonts w:ascii="Calibri" w:hAnsi="Calibri" w:cs="Calibri"/>
          <w:color w:val="222222"/>
          <w:sz w:val="22"/>
          <w:szCs w:val="22"/>
        </w:rPr>
        <w:t xml:space="preserve">(45,7%), </w:t>
      </w:r>
      <w:r w:rsidRPr="00D37372">
        <w:rPr>
          <w:rFonts w:ascii="Calibri" w:hAnsi="Calibri" w:cs="Calibri"/>
          <w:b/>
          <w:bCs/>
          <w:color w:val="222222"/>
          <w:sz w:val="22"/>
          <w:szCs w:val="22"/>
        </w:rPr>
        <w:t>melanzane</w:t>
      </w:r>
      <w:r>
        <w:rPr>
          <w:rFonts w:ascii="Calibri" w:hAnsi="Calibri" w:cs="Calibri"/>
          <w:color w:val="222222"/>
          <w:sz w:val="22"/>
          <w:szCs w:val="22"/>
        </w:rPr>
        <w:t xml:space="preserve"> </w:t>
      </w:r>
      <w:r w:rsidRPr="00D37372">
        <w:rPr>
          <w:rFonts w:ascii="Calibri" w:hAnsi="Calibri" w:cs="Calibri"/>
          <w:color w:val="222222"/>
          <w:sz w:val="22"/>
          <w:szCs w:val="22"/>
        </w:rPr>
        <w:t>(27,5%) e</w:t>
      </w:r>
      <w:r>
        <w:rPr>
          <w:rFonts w:ascii="Calibri" w:hAnsi="Calibri" w:cs="Calibri"/>
          <w:color w:val="222222"/>
          <w:sz w:val="22"/>
          <w:szCs w:val="22"/>
        </w:rPr>
        <w:t xml:space="preserve"> </w:t>
      </w:r>
      <w:r w:rsidRPr="00D37372">
        <w:rPr>
          <w:rFonts w:ascii="Calibri" w:hAnsi="Calibri" w:cs="Calibri"/>
          <w:b/>
          <w:bCs/>
          <w:color w:val="222222"/>
          <w:sz w:val="22"/>
          <w:szCs w:val="22"/>
        </w:rPr>
        <w:t>zucchine</w:t>
      </w:r>
      <w:r>
        <w:rPr>
          <w:rFonts w:ascii="Calibri" w:hAnsi="Calibri" w:cs="Calibri"/>
          <w:color w:val="222222"/>
          <w:sz w:val="22"/>
          <w:szCs w:val="22"/>
        </w:rPr>
        <w:t xml:space="preserve"> </w:t>
      </w:r>
      <w:r w:rsidRPr="00D37372">
        <w:rPr>
          <w:rFonts w:ascii="Calibri" w:hAnsi="Calibri" w:cs="Calibri"/>
          <w:color w:val="222222"/>
          <w:sz w:val="22"/>
          <w:szCs w:val="22"/>
        </w:rPr>
        <w:t xml:space="preserve">(42,3%). Registrati aumenti per gli </w:t>
      </w:r>
      <w:r w:rsidRPr="00D37372">
        <w:rPr>
          <w:rFonts w:ascii="Calibri" w:hAnsi="Calibri" w:cs="Calibri"/>
          <w:b/>
          <w:bCs/>
          <w:color w:val="222222"/>
          <w:sz w:val="22"/>
          <w:szCs w:val="22"/>
        </w:rPr>
        <w:t>spinaci</w:t>
      </w:r>
      <w:r>
        <w:rPr>
          <w:rFonts w:ascii="Calibri" w:hAnsi="Calibri" w:cs="Calibri"/>
          <w:color w:val="222222"/>
          <w:sz w:val="22"/>
          <w:szCs w:val="22"/>
        </w:rPr>
        <w:t xml:space="preserve"> </w:t>
      </w:r>
      <w:r w:rsidRPr="00D37372">
        <w:rPr>
          <w:rFonts w:ascii="Calibri" w:hAnsi="Calibri" w:cs="Calibri"/>
          <w:color w:val="222222"/>
          <w:sz w:val="22"/>
          <w:szCs w:val="22"/>
        </w:rPr>
        <w:t>(27,6%).</w:t>
      </w:r>
    </w:p>
    <w:p w14:paraId="51B364AB" w14:textId="77777777" w:rsidR="00D37372" w:rsidRPr="00D37372" w:rsidRDefault="00D37372" w:rsidP="00D37372">
      <w:pPr>
        <w:shd w:val="clear" w:color="auto" w:fill="FFFFFF"/>
        <w:spacing w:after="120" w:line="276" w:lineRule="auto"/>
        <w:rPr>
          <w:rFonts w:ascii="Calibri" w:hAnsi="Calibri" w:cs="Calibri"/>
          <w:color w:val="222222"/>
          <w:sz w:val="22"/>
          <w:szCs w:val="22"/>
        </w:rPr>
      </w:pPr>
      <w:r>
        <w:rPr>
          <w:rFonts w:ascii="Calibri" w:hAnsi="Calibri" w:cs="Calibri"/>
          <w:color w:val="222222"/>
          <w:sz w:val="22"/>
          <w:szCs w:val="22"/>
        </w:rPr>
        <w:t>Anche p</w:t>
      </w:r>
      <w:r w:rsidRPr="00D37372">
        <w:rPr>
          <w:rFonts w:ascii="Calibri" w:hAnsi="Calibri" w:cs="Calibri"/>
          <w:color w:val="222222"/>
          <w:sz w:val="22"/>
          <w:szCs w:val="22"/>
        </w:rPr>
        <w:t xml:space="preserve">er i </w:t>
      </w:r>
      <w:r w:rsidRPr="00D37372">
        <w:rPr>
          <w:rFonts w:ascii="Calibri" w:hAnsi="Calibri" w:cs="Calibri"/>
          <w:b/>
          <w:bCs/>
          <w:color w:val="222222"/>
          <w:sz w:val="22"/>
          <w:szCs w:val="22"/>
        </w:rPr>
        <w:t>carciofi</w:t>
      </w:r>
      <w:r w:rsidRPr="00D37372">
        <w:rPr>
          <w:rFonts w:ascii="Calibri" w:hAnsi="Calibri" w:cs="Calibri"/>
          <w:color w:val="222222"/>
          <w:sz w:val="22"/>
          <w:szCs w:val="22"/>
        </w:rPr>
        <w:t xml:space="preserve"> (10,9%) si </w:t>
      </w:r>
      <w:r>
        <w:rPr>
          <w:rFonts w:ascii="Calibri" w:hAnsi="Calibri" w:cs="Calibri"/>
          <w:color w:val="222222"/>
          <w:sz w:val="22"/>
          <w:szCs w:val="22"/>
        </w:rPr>
        <w:t>sono rilevati degli</w:t>
      </w:r>
      <w:r w:rsidRPr="00D37372">
        <w:rPr>
          <w:rFonts w:ascii="Calibri" w:hAnsi="Calibri" w:cs="Calibri"/>
          <w:color w:val="222222"/>
          <w:sz w:val="22"/>
          <w:szCs w:val="22"/>
        </w:rPr>
        <w:t xml:space="preserve"> aumenti</w:t>
      </w:r>
      <w:r>
        <w:rPr>
          <w:rFonts w:ascii="Calibri" w:hAnsi="Calibri" w:cs="Calibri"/>
          <w:color w:val="222222"/>
          <w:sz w:val="22"/>
          <w:szCs w:val="22"/>
        </w:rPr>
        <w:t>. N</w:t>
      </w:r>
      <w:r w:rsidRPr="00D37372">
        <w:rPr>
          <w:rFonts w:ascii="Calibri" w:hAnsi="Calibri" w:cs="Calibri"/>
          <w:color w:val="222222"/>
          <w:sz w:val="22"/>
          <w:szCs w:val="22"/>
        </w:rPr>
        <w:t>ei primi giorni del mese è cominciata la campagna di raccolta delle varietà “violetto” ma i quantitativi disponibili non sono ancora abbastanza elevati da soddisfare la domanda.</w:t>
      </w:r>
    </w:p>
    <w:p w14:paraId="1231BB64" w14:textId="6A29CC16" w:rsidR="00D37372" w:rsidRDefault="00D37372" w:rsidP="00D37372">
      <w:pPr>
        <w:spacing w:after="120" w:line="276" w:lineRule="auto"/>
        <w:rPr>
          <w:rFonts w:asciiTheme="minorHAnsi" w:hAnsiTheme="minorHAnsi" w:cstheme="minorHAnsi"/>
          <w:b/>
          <w:color w:val="4472C4" w:themeColor="accent5"/>
          <w:szCs w:val="24"/>
        </w:rPr>
      </w:pPr>
      <w:r w:rsidRPr="00D37372">
        <w:rPr>
          <w:rFonts w:ascii="Calibri" w:hAnsi="Calibri" w:cs="Calibri"/>
          <w:color w:val="222222"/>
          <w:sz w:val="22"/>
          <w:szCs w:val="22"/>
        </w:rPr>
        <w:t xml:space="preserve">In calo, invece, anche rispetto al mese di ottobre, le quotazioni degli ortaggi tipicamente invernali, come </w:t>
      </w:r>
      <w:r w:rsidRPr="00D37372">
        <w:rPr>
          <w:rFonts w:ascii="Calibri" w:hAnsi="Calibri" w:cs="Calibri"/>
          <w:b/>
          <w:bCs/>
          <w:color w:val="222222"/>
          <w:sz w:val="22"/>
          <w:szCs w:val="22"/>
        </w:rPr>
        <w:t xml:space="preserve">cavoli broccoli </w:t>
      </w:r>
      <w:r w:rsidRPr="00D37372">
        <w:rPr>
          <w:rFonts w:ascii="Calibri" w:hAnsi="Calibri" w:cs="Calibri"/>
          <w:color w:val="222222"/>
          <w:sz w:val="22"/>
          <w:szCs w:val="22"/>
        </w:rPr>
        <w:t xml:space="preserve">(-27,8%), </w:t>
      </w:r>
      <w:r w:rsidRPr="00D37372">
        <w:rPr>
          <w:rFonts w:ascii="Calibri" w:hAnsi="Calibri" w:cs="Calibri"/>
          <w:b/>
          <w:bCs/>
          <w:color w:val="222222"/>
          <w:sz w:val="22"/>
          <w:szCs w:val="22"/>
        </w:rPr>
        <w:t xml:space="preserve">cavolfiori </w:t>
      </w:r>
      <w:r w:rsidRPr="00D37372">
        <w:rPr>
          <w:rFonts w:ascii="Calibri" w:hAnsi="Calibri" w:cs="Calibri"/>
          <w:color w:val="222222"/>
          <w:sz w:val="22"/>
          <w:szCs w:val="22"/>
        </w:rPr>
        <w:t xml:space="preserve">(-9,7%) e </w:t>
      </w:r>
      <w:r w:rsidRPr="00D37372">
        <w:rPr>
          <w:rFonts w:ascii="Calibri" w:hAnsi="Calibri" w:cs="Calibri"/>
          <w:b/>
          <w:bCs/>
          <w:color w:val="222222"/>
          <w:sz w:val="22"/>
          <w:szCs w:val="22"/>
        </w:rPr>
        <w:t xml:space="preserve">finocchi </w:t>
      </w:r>
      <w:r w:rsidRPr="00D37372">
        <w:rPr>
          <w:rFonts w:ascii="Calibri" w:hAnsi="Calibri" w:cs="Calibri"/>
          <w:color w:val="222222"/>
          <w:sz w:val="22"/>
          <w:szCs w:val="22"/>
        </w:rPr>
        <w:t>(-17,1%)</w:t>
      </w:r>
      <w:r>
        <w:rPr>
          <w:rFonts w:ascii="Calibri" w:hAnsi="Calibri" w:cs="Calibri"/>
          <w:color w:val="222222"/>
          <w:sz w:val="22"/>
          <w:szCs w:val="22"/>
        </w:rPr>
        <w:t>. N</w:t>
      </w:r>
      <w:r w:rsidRPr="00D37372">
        <w:rPr>
          <w:rFonts w:ascii="Calibri" w:hAnsi="Calibri" w:cs="Calibri"/>
          <w:color w:val="222222"/>
          <w:sz w:val="22"/>
          <w:szCs w:val="22"/>
        </w:rPr>
        <w:t>onostante il maltempo che ha colpito la penisola, questi prodotti sono stati disponibili sempre in quantità sufficienti.</w:t>
      </w:r>
      <w:bookmarkEnd w:id="9"/>
    </w:p>
    <w:p w14:paraId="7326340D" w14:textId="78B6A701" w:rsidR="00D81970" w:rsidRPr="003050AE" w:rsidRDefault="00493682" w:rsidP="00D81970">
      <w:pPr>
        <w:spacing w:line="276" w:lineRule="auto"/>
        <w:rPr>
          <w:rFonts w:asciiTheme="minorHAnsi" w:hAnsiTheme="minorHAnsi" w:cstheme="minorHAnsi"/>
          <w:b/>
          <w:color w:val="4472C4" w:themeColor="accent5"/>
          <w:szCs w:val="24"/>
        </w:rPr>
      </w:pPr>
      <w:r>
        <w:rPr>
          <w:rFonts w:asciiTheme="minorHAnsi" w:hAnsiTheme="minorHAnsi" w:cstheme="minorHAnsi"/>
          <w:b/>
          <w:color w:val="4472C4" w:themeColor="accent5"/>
          <w:szCs w:val="24"/>
        </w:rPr>
        <w:t>Diffusi aumenti</w:t>
      </w:r>
      <w:r w:rsidR="00D81970">
        <w:rPr>
          <w:rFonts w:asciiTheme="minorHAnsi" w:hAnsiTheme="minorHAnsi" w:cstheme="minorHAnsi"/>
          <w:b/>
          <w:color w:val="4472C4" w:themeColor="accent5"/>
          <w:szCs w:val="24"/>
        </w:rPr>
        <w:t xml:space="preserve"> per latte, formaggi e uova </w:t>
      </w:r>
    </w:p>
    <w:p w14:paraId="2585C522" w14:textId="5E7A243B" w:rsidR="008625EC" w:rsidRDefault="008625EC" w:rsidP="00D81970">
      <w:pPr>
        <w:tabs>
          <w:tab w:val="left" w:pos="3675"/>
        </w:tabs>
        <w:spacing w:after="120" w:line="276" w:lineRule="auto"/>
        <w:rPr>
          <w:rFonts w:asciiTheme="minorHAnsi" w:hAnsiTheme="minorHAnsi" w:cstheme="minorHAnsi"/>
          <w:sz w:val="22"/>
          <w:szCs w:val="22"/>
        </w:rPr>
      </w:pPr>
      <w:r>
        <w:rPr>
          <w:rFonts w:asciiTheme="minorHAnsi" w:hAnsiTheme="minorHAnsi" w:cstheme="minorHAnsi"/>
          <w:sz w:val="22"/>
          <w:szCs w:val="22"/>
        </w:rPr>
        <w:t xml:space="preserve">E’ proseguita a novembre la corsa dei prezzi del </w:t>
      </w:r>
      <w:r w:rsidR="00D81970" w:rsidRPr="00C85B9A">
        <w:rPr>
          <w:rFonts w:asciiTheme="minorHAnsi" w:hAnsiTheme="minorHAnsi" w:cstheme="minorHAnsi"/>
          <w:b/>
          <w:bCs/>
          <w:sz w:val="22"/>
          <w:szCs w:val="22"/>
        </w:rPr>
        <w:t>latte spot</w:t>
      </w:r>
      <w:r w:rsidR="00D81970" w:rsidRPr="009614BD">
        <w:rPr>
          <w:rFonts w:asciiTheme="minorHAnsi" w:hAnsiTheme="minorHAnsi" w:cstheme="minorHAnsi"/>
          <w:sz w:val="22"/>
          <w:szCs w:val="22"/>
        </w:rPr>
        <w:t xml:space="preserve"> di origine nazionale </w:t>
      </w:r>
      <w:r w:rsidR="00D81970" w:rsidRPr="003050AE">
        <w:rPr>
          <w:rFonts w:asciiTheme="minorHAnsi" w:hAnsiTheme="minorHAnsi" w:cstheme="minorHAnsi"/>
          <w:sz w:val="22"/>
          <w:szCs w:val="22"/>
        </w:rPr>
        <w:t>(il latte sfuso in cisterna commercializzato settimanalmente al di fuori degli accordi interprofessionali tra produttori e industria)</w:t>
      </w:r>
      <w:r>
        <w:rPr>
          <w:rFonts w:asciiTheme="minorHAnsi" w:hAnsiTheme="minorHAnsi" w:cstheme="minorHAnsi"/>
          <w:sz w:val="22"/>
          <w:szCs w:val="22"/>
        </w:rPr>
        <w:t xml:space="preserve">. Sostenuti dalla domanda e dalla minore disponibilità di prodotto dalla Germania, i prezzi hanno archiviato un aumento mensile del +7,2%, portando la crescita su base annua a sfiorare il +30%. </w:t>
      </w:r>
    </w:p>
    <w:p w14:paraId="0ECCC8CC" w14:textId="6FB524C7" w:rsidR="00971C43" w:rsidRPr="00493682" w:rsidRDefault="00971C43" w:rsidP="00D81970">
      <w:pPr>
        <w:tabs>
          <w:tab w:val="left" w:pos="3675"/>
        </w:tabs>
        <w:spacing w:after="120" w:line="276" w:lineRule="auto"/>
        <w:rPr>
          <w:rFonts w:asciiTheme="minorHAnsi" w:hAnsiTheme="minorHAnsi" w:cstheme="minorHAnsi"/>
          <w:sz w:val="22"/>
          <w:szCs w:val="22"/>
        </w:rPr>
      </w:pPr>
      <w:r>
        <w:rPr>
          <w:rFonts w:asciiTheme="minorHAnsi" w:hAnsiTheme="minorHAnsi" w:cstheme="minorHAnsi"/>
          <w:sz w:val="22"/>
          <w:szCs w:val="22"/>
        </w:rPr>
        <w:t>A conferma delle tensioni al rialzo che stanno attraversando l’intero comparto, causate anche dall’</w:t>
      </w:r>
      <w:r w:rsidR="00493682">
        <w:rPr>
          <w:rFonts w:asciiTheme="minorHAnsi" w:hAnsiTheme="minorHAnsi" w:cstheme="minorHAnsi"/>
          <w:sz w:val="22"/>
          <w:szCs w:val="22"/>
        </w:rPr>
        <w:t>incremento</w:t>
      </w:r>
      <w:r>
        <w:rPr>
          <w:rFonts w:asciiTheme="minorHAnsi" w:hAnsiTheme="minorHAnsi" w:cstheme="minorHAnsi"/>
          <w:sz w:val="22"/>
          <w:szCs w:val="22"/>
        </w:rPr>
        <w:t xml:space="preserve"> dei costi dei fattori produttivi, dopo una prolungata stabilità sono tornati in aumento i prezzi dei </w:t>
      </w:r>
      <w:r w:rsidRPr="007B5BCD">
        <w:rPr>
          <w:rFonts w:asciiTheme="minorHAnsi" w:hAnsiTheme="minorHAnsi" w:cstheme="minorHAnsi"/>
          <w:b/>
          <w:bCs/>
          <w:sz w:val="22"/>
          <w:szCs w:val="22"/>
        </w:rPr>
        <w:t>formaggi freschi</w:t>
      </w:r>
      <w:r>
        <w:rPr>
          <w:rFonts w:asciiTheme="minorHAnsi" w:hAnsiTheme="minorHAnsi" w:cstheme="minorHAnsi"/>
          <w:sz w:val="22"/>
          <w:szCs w:val="22"/>
        </w:rPr>
        <w:t xml:space="preserve"> </w:t>
      </w:r>
      <w:bookmarkStart w:id="10" w:name="_Hlk90488526"/>
      <w:r>
        <w:rPr>
          <w:rFonts w:asciiTheme="minorHAnsi" w:hAnsiTheme="minorHAnsi" w:cstheme="minorHAnsi"/>
          <w:sz w:val="22"/>
          <w:szCs w:val="22"/>
        </w:rPr>
        <w:t xml:space="preserve">(+1,8% rispetto a ottobre) e dei </w:t>
      </w:r>
      <w:r w:rsidRPr="007B5BCD">
        <w:rPr>
          <w:rFonts w:asciiTheme="minorHAnsi" w:hAnsiTheme="minorHAnsi" w:cstheme="minorHAnsi"/>
          <w:b/>
          <w:bCs/>
          <w:sz w:val="22"/>
          <w:szCs w:val="22"/>
        </w:rPr>
        <w:t>formaggi a media stagionatura</w:t>
      </w:r>
      <w:r>
        <w:rPr>
          <w:rFonts w:asciiTheme="minorHAnsi" w:hAnsiTheme="minorHAnsi" w:cstheme="minorHAnsi"/>
          <w:sz w:val="22"/>
          <w:szCs w:val="22"/>
        </w:rPr>
        <w:t xml:space="preserve"> (+1,1%), </w:t>
      </w:r>
      <w:r w:rsidR="007B5BCD">
        <w:rPr>
          <w:rFonts w:asciiTheme="minorHAnsi" w:hAnsiTheme="minorHAnsi" w:cstheme="minorHAnsi"/>
          <w:sz w:val="22"/>
          <w:szCs w:val="22"/>
        </w:rPr>
        <w:t xml:space="preserve">con </w:t>
      </w:r>
      <w:r w:rsidR="00493682">
        <w:rPr>
          <w:rFonts w:asciiTheme="minorHAnsi" w:hAnsiTheme="minorHAnsi" w:cstheme="minorHAnsi"/>
          <w:sz w:val="22"/>
          <w:szCs w:val="22"/>
        </w:rPr>
        <w:t>rialzi</w:t>
      </w:r>
      <w:r w:rsidR="007B5BCD">
        <w:rPr>
          <w:rFonts w:asciiTheme="minorHAnsi" w:hAnsiTheme="minorHAnsi" w:cstheme="minorHAnsi"/>
          <w:sz w:val="22"/>
          <w:szCs w:val="22"/>
        </w:rPr>
        <w:t xml:space="preserve"> tra gli altri per </w:t>
      </w:r>
      <w:r>
        <w:rPr>
          <w:rFonts w:asciiTheme="minorHAnsi" w:hAnsiTheme="minorHAnsi" w:cstheme="minorHAnsi"/>
          <w:sz w:val="22"/>
          <w:szCs w:val="22"/>
        </w:rPr>
        <w:t>Asiago, Gorgonzola</w:t>
      </w:r>
      <w:r w:rsidR="007B5BCD">
        <w:rPr>
          <w:rFonts w:asciiTheme="minorHAnsi" w:hAnsiTheme="minorHAnsi" w:cstheme="minorHAnsi"/>
          <w:sz w:val="22"/>
          <w:szCs w:val="22"/>
        </w:rPr>
        <w:t xml:space="preserve"> e Taleggio</w:t>
      </w:r>
      <w:bookmarkEnd w:id="10"/>
      <w:r w:rsidR="007B5BCD">
        <w:rPr>
          <w:rFonts w:asciiTheme="minorHAnsi" w:hAnsiTheme="minorHAnsi" w:cstheme="minorHAnsi"/>
          <w:sz w:val="22"/>
          <w:szCs w:val="22"/>
        </w:rPr>
        <w:t xml:space="preserve">. </w:t>
      </w:r>
      <w:r w:rsidR="00493682">
        <w:rPr>
          <w:rFonts w:asciiTheme="minorHAnsi" w:hAnsiTheme="minorHAnsi" w:cstheme="minorHAnsi"/>
          <w:sz w:val="22"/>
          <w:szCs w:val="22"/>
        </w:rPr>
        <w:t>Una leggera crescita ha interessato</w:t>
      </w:r>
      <w:r w:rsidR="00493682" w:rsidRPr="00493682">
        <w:rPr>
          <w:rFonts w:asciiTheme="minorHAnsi" w:hAnsiTheme="minorHAnsi" w:cstheme="minorHAnsi"/>
          <w:sz w:val="22"/>
          <w:szCs w:val="22"/>
        </w:rPr>
        <w:t xml:space="preserve"> anche i </w:t>
      </w:r>
      <w:r w:rsidR="00493682" w:rsidRPr="00493682">
        <w:rPr>
          <w:rFonts w:asciiTheme="minorHAnsi" w:hAnsiTheme="minorHAnsi" w:cstheme="minorHAnsi"/>
          <w:b/>
          <w:bCs/>
          <w:sz w:val="22"/>
          <w:szCs w:val="22"/>
        </w:rPr>
        <w:t>formaggi stagionati</w:t>
      </w:r>
      <w:r w:rsidR="00493682" w:rsidRPr="00493682">
        <w:rPr>
          <w:rFonts w:asciiTheme="minorHAnsi" w:hAnsiTheme="minorHAnsi" w:cstheme="minorHAnsi"/>
          <w:sz w:val="22"/>
          <w:szCs w:val="22"/>
        </w:rPr>
        <w:t xml:space="preserve"> (+0,7%), </w:t>
      </w:r>
      <w:r w:rsidR="00493682">
        <w:rPr>
          <w:rFonts w:asciiTheme="minorHAnsi" w:hAnsiTheme="minorHAnsi" w:cstheme="minorHAnsi"/>
          <w:sz w:val="22"/>
          <w:szCs w:val="22"/>
        </w:rPr>
        <w:t>complice l</w:t>
      </w:r>
      <w:r w:rsidR="00493682" w:rsidRPr="00493682">
        <w:rPr>
          <w:rFonts w:asciiTheme="minorHAnsi" w:hAnsiTheme="minorHAnsi" w:cstheme="minorHAnsi"/>
          <w:sz w:val="22"/>
          <w:szCs w:val="22"/>
        </w:rPr>
        <w:t>’ulteriore rialzo messo a segno dal Pecorino Romano (+1,5%)</w:t>
      </w:r>
      <w:r w:rsidR="00736AF3">
        <w:rPr>
          <w:rFonts w:asciiTheme="minorHAnsi" w:hAnsiTheme="minorHAnsi" w:cstheme="minorHAnsi"/>
          <w:sz w:val="22"/>
          <w:szCs w:val="22"/>
        </w:rPr>
        <w:t xml:space="preserve">, a fronte di una maggiore stabilità per Parmigiano Reggiano e Grana Padano. </w:t>
      </w:r>
    </w:p>
    <w:p w14:paraId="5768F4D6" w14:textId="3A46D501" w:rsidR="001E3DE8" w:rsidRDefault="001E3DE8" w:rsidP="00D81970">
      <w:pPr>
        <w:tabs>
          <w:tab w:val="left" w:pos="3675"/>
        </w:tabs>
        <w:spacing w:after="120" w:line="276" w:lineRule="auto"/>
        <w:rPr>
          <w:rFonts w:asciiTheme="minorHAnsi" w:hAnsiTheme="minorHAnsi" w:cstheme="minorHAnsi"/>
          <w:sz w:val="22"/>
          <w:szCs w:val="22"/>
        </w:rPr>
      </w:pPr>
      <w:r w:rsidRPr="00CF0318">
        <w:rPr>
          <w:rFonts w:asciiTheme="minorHAnsi" w:hAnsiTheme="minorHAnsi" w:cstheme="minorHAnsi"/>
          <w:sz w:val="22"/>
          <w:szCs w:val="22"/>
        </w:rPr>
        <w:t>Tra le materie grasse derivate dal latte</w:t>
      </w:r>
      <w:r>
        <w:rPr>
          <w:rFonts w:asciiTheme="minorHAnsi" w:hAnsiTheme="minorHAnsi" w:cstheme="minorHAnsi"/>
          <w:sz w:val="22"/>
          <w:szCs w:val="22"/>
        </w:rPr>
        <w:t>, la prima parte di</w:t>
      </w:r>
      <w:r w:rsidRPr="00CF0318">
        <w:rPr>
          <w:rFonts w:asciiTheme="minorHAnsi" w:hAnsiTheme="minorHAnsi" w:cstheme="minorHAnsi"/>
          <w:sz w:val="22"/>
          <w:szCs w:val="22"/>
        </w:rPr>
        <w:t xml:space="preserve"> </w:t>
      </w:r>
      <w:r>
        <w:rPr>
          <w:rFonts w:asciiTheme="minorHAnsi" w:hAnsiTheme="minorHAnsi" w:cstheme="minorHAnsi"/>
          <w:sz w:val="22"/>
          <w:szCs w:val="22"/>
        </w:rPr>
        <w:t xml:space="preserve">novembre ha mostrato un ulteriore robusto incremento dei prezzi della </w:t>
      </w:r>
      <w:r w:rsidRPr="003D5146">
        <w:rPr>
          <w:rFonts w:asciiTheme="minorHAnsi" w:hAnsiTheme="minorHAnsi" w:cstheme="minorHAnsi"/>
          <w:b/>
          <w:bCs/>
          <w:sz w:val="22"/>
          <w:szCs w:val="22"/>
        </w:rPr>
        <w:t>panna</w:t>
      </w:r>
      <w:r>
        <w:rPr>
          <w:rFonts w:asciiTheme="minorHAnsi" w:hAnsiTheme="minorHAnsi" w:cstheme="minorHAnsi"/>
          <w:sz w:val="22"/>
          <w:szCs w:val="22"/>
        </w:rPr>
        <w:t xml:space="preserve">, cresciuti su base mensile del +9,1%. </w:t>
      </w:r>
      <w:r w:rsidR="003D5146">
        <w:rPr>
          <w:rFonts w:asciiTheme="minorHAnsi" w:hAnsiTheme="minorHAnsi" w:cstheme="minorHAnsi"/>
          <w:sz w:val="22"/>
          <w:szCs w:val="22"/>
        </w:rPr>
        <w:t xml:space="preserve">I valori attuali sono più alti di </w:t>
      </w:r>
      <w:r w:rsidR="00FA49A0">
        <w:rPr>
          <w:rFonts w:asciiTheme="minorHAnsi" w:hAnsiTheme="minorHAnsi" w:cstheme="minorHAnsi"/>
          <w:sz w:val="22"/>
          <w:szCs w:val="22"/>
        </w:rPr>
        <w:t xml:space="preserve">oltre il </w:t>
      </w:r>
      <w:r w:rsidR="00FA49A0">
        <w:rPr>
          <w:rFonts w:asciiTheme="minorHAnsi" w:hAnsiTheme="minorHAnsi" w:cstheme="minorHAnsi"/>
          <w:sz w:val="22"/>
          <w:szCs w:val="22"/>
        </w:rPr>
        <w:lastRenderedPageBreak/>
        <w:t xml:space="preserve">+70% rispetto al 2020 e di oltre il +50% rispetto al 2019. </w:t>
      </w:r>
      <w:r>
        <w:rPr>
          <w:rFonts w:asciiTheme="minorHAnsi" w:hAnsiTheme="minorHAnsi" w:cstheme="minorHAnsi"/>
          <w:sz w:val="22"/>
          <w:szCs w:val="22"/>
        </w:rPr>
        <w:t xml:space="preserve">La corsa </w:t>
      </w:r>
      <w:r w:rsidR="003D5146">
        <w:rPr>
          <w:rFonts w:asciiTheme="minorHAnsi" w:hAnsiTheme="minorHAnsi" w:cstheme="minorHAnsi"/>
          <w:sz w:val="22"/>
          <w:szCs w:val="22"/>
        </w:rPr>
        <w:t xml:space="preserve">delle quotazioni, cresciute da agosto di oltre il 40%, si è però arrestata nella seconda parte del mese. </w:t>
      </w:r>
    </w:p>
    <w:p w14:paraId="4DD10516" w14:textId="49A595DE" w:rsidR="001E3DE8" w:rsidRDefault="00FA49A0" w:rsidP="00D81970">
      <w:pPr>
        <w:tabs>
          <w:tab w:val="left" w:pos="3675"/>
        </w:tabs>
        <w:spacing w:after="120" w:line="276" w:lineRule="auto"/>
        <w:rPr>
          <w:rFonts w:asciiTheme="minorHAnsi" w:hAnsiTheme="minorHAnsi" w:cstheme="minorHAnsi"/>
          <w:sz w:val="22"/>
          <w:szCs w:val="22"/>
        </w:rPr>
      </w:pPr>
      <w:r>
        <w:rPr>
          <w:rFonts w:asciiTheme="minorHAnsi" w:hAnsiTheme="minorHAnsi" w:cstheme="minorHAnsi"/>
          <w:sz w:val="22"/>
          <w:szCs w:val="22"/>
        </w:rPr>
        <w:t xml:space="preserve">Segno “più” anche nei listini delle </w:t>
      </w:r>
      <w:r w:rsidRPr="00644678">
        <w:rPr>
          <w:rFonts w:asciiTheme="minorHAnsi" w:hAnsiTheme="minorHAnsi" w:cstheme="minorHAnsi"/>
          <w:b/>
          <w:bCs/>
          <w:sz w:val="22"/>
          <w:szCs w:val="22"/>
        </w:rPr>
        <w:t>uova</w:t>
      </w:r>
      <w:r w:rsidR="00644678">
        <w:rPr>
          <w:rFonts w:asciiTheme="minorHAnsi" w:hAnsiTheme="minorHAnsi" w:cstheme="minorHAnsi"/>
          <w:sz w:val="22"/>
          <w:szCs w:val="22"/>
        </w:rPr>
        <w:t xml:space="preserve"> (+2,6%), grazie al buon andamento delle richieste, con i prezzi che rispetto allo scorso anno crescono di quasi il 10%.</w:t>
      </w:r>
      <w:r>
        <w:rPr>
          <w:rFonts w:asciiTheme="minorHAnsi" w:hAnsiTheme="minorHAnsi" w:cstheme="minorHAnsi"/>
          <w:sz w:val="22"/>
          <w:szCs w:val="22"/>
        </w:rPr>
        <w:t xml:space="preserve"> </w:t>
      </w:r>
    </w:p>
    <w:p w14:paraId="1E042219" w14:textId="77777777" w:rsidR="002A2AB0" w:rsidRPr="003050AE" w:rsidRDefault="00CD4B8B" w:rsidP="000B5B61">
      <w:pPr>
        <w:spacing w:line="276" w:lineRule="auto"/>
        <w:rPr>
          <w:rFonts w:asciiTheme="minorHAnsi" w:hAnsiTheme="minorHAnsi" w:cstheme="minorHAnsi"/>
          <w:b/>
          <w:color w:val="4472C4" w:themeColor="accent5"/>
          <w:szCs w:val="24"/>
        </w:rPr>
      </w:pPr>
      <w:r>
        <w:rPr>
          <w:rFonts w:asciiTheme="minorHAnsi" w:hAnsiTheme="minorHAnsi" w:cstheme="minorHAnsi"/>
          <w:b/>
          <w:color w:val="4472C4" w:themeColor="accent5"/>
          <w:szCs w:val="24"/>
        </w:rPr>
        <w:t xml:space="preserve">Cereali, </w:t>
      </w:r>
      <w:r w:rsidR="002A2AB0">
        <w:rPr>
          <w:rFonts w:asciiTheme="minorHAnsi" w:hAnsiTheme="minorHAnsi" w:cstheme="minorHAnsi"/>
          <w:b/>
          <w:color w:val="4472C4" w:themeColor="accent5"/>
          <w:szCs w:val="24"/>
        </w:rPr>
        <w:t xml:space="preserve">prezzi in crescita per i risi. </w:t>
      </w:r>
      <w:r>
        <w:rPr>
          <w:rFonts w:asciiTheme="minorHAnsi" w:hAnsiTheme="minorHAnsi" w:cstheme="minorHAnsi"/>
          <w:b/>
          <w:color w:val="4472C4" w:themeColor="accent5"/>
          <w:szCs w:val="24"/>
        </w:rPr>
        <w:t>Ulteriore rialzo per gli sfarinati di grano</w:t>
      </w:r>
      <w:r w:rsidR="00644678">
        <w:rPr>
          <w:rFonts w:asciiTheme="minorHAnsi" w:hAnsiTheme="minorHAnsi" w:cstheme="minorHAnsi"/>
          <w:b/>
          <w:color w:val="4472C4" w:themeColor="accent5"/>
          <w:szCs w:val="24"/>
        </w:rPr>
        <w:t xml:space="preserve"> </w:t>
      </w:r>
    </w:p>
    <w:p w14:paraId="7D778EEF" w14:textId="76D6DB38" w:rsidR="00644678" w:rsidRDefault="000B5B61" w:rsidP="000B5B61">
      <w:pPr>
        <w:spacing w:after="120" w:line="276" w:lineRule="auto"/>
        <w:rPr>
          <w:rFonts w:asciiTheme="minorHAnsi" w:hAnsiTheme="minorHAnsi" w:cstheme="minorHAnsi"/>
          <w:sz w:val="22"/>
          <w:szCs w:val="22"/>
        </w:rPr>
      </w:pPr>
      <w:r>
        <w:rPr>
          <w:rFonts w:asciiTheme="minorHAnsi" w:hAnsiTheme="minorHAnsi" w:cstheme="minorHAnsi"/>
          <w:sz w:val="22"/>
          <w:szCs w:val="22"/>
        </w:rPr>
        <w:t>Sostenuti da una domanda crescente e dal buon ritmo degli scambi,</w:t>
      </w:r>
      <w:r w:rsidR="00F33854">
        <w:rPr>
          <w:rFonts w:asciiTheme="minorHAnsi" w:hAnsiTheme="minorHAnsi" w:cstheme="minorHAnsi"/>
          <w:sz w:val="22"/>
          <w:szCs w:val="22"/>
        </w:rPr>
        <w:t xml:space="preserve"> i prezzi dei </w:t>
      </w:r>
      <w:r w:rsidR="00F33854" w:rsidRPr="000B5B61">
        <w:rPr>
          <w:rFonts w:asciiTheme="minorHAnsi" w:hAnsiTheme="minorHAnsi" w:cstheme="minorHAnsi"/>
          <w:b/>
          <w:bCs/>
          <w:sz w:val="22"/>
          <w:szCs w:val="22"/>
        </w:rPr>
        <w:t>risi</w:t>
      </w:r>
      <w:r w:rsidR="00F33854">
        <w:rPr>
          <w:rFonts w:asciiTheme="minorHAnsi" w:hAnsiTheme="minorHAnsi" w:cstheme="minorHAnsi"/>
          <w:sz w:val="22"/>
          <w:szCs w:val="22"/>
        </w:rPr>
        <w:t xml:space="preserve"> hanno fatto segnare a novembre diffusi rialzi, in particolare per le varietà destinate al consumo interno. Su base mensile </w:t>
      </w:r>
      <w:r>
        <w:rPr>
          <w:rFonts w:asciiTheme="minorHAnsi" w:hAnsiTheme="minorHAnsi" w:cstheme="minorHAnsi"/>
          <w:sz w:val="22"/>
          <w:szCs w:val="22"/>
        </w:rPr>
        <w:t>le quotazioni sono cresciute del +10,4%, tornando a registrare una variazione positiva anche rispetto allo scorso anno (+2,8%).</w:t>
      </w:r>
    </w:p>
    <w:p w14:paraId="2BA4EFF3" w14:textId="7C1627BD" w:rsidR="000B5B61" w:rsidRDefault="000B5B61" w:rsidP="000B5B61">
      <w:pPr>
        <w:spacing w:after="120" w:line="276" w:lineRule="auto"/>
        <w:rPr>
          <w:rFonts w:asciiTheme="minorHAnsi" w:hAnsiTheme="minorHAnsi" w:cstheme="minorHAnsi"/>
          <w:sz w:val="22"/>
          <w:szCs w:val="22"/>
        </w:rPr>
      </w:pPr>
      <w:bookmarkStart w:id="11" w:name="_Hlk90488554"/>
      <w:r>
        <w:rPr>
          <w:rFonts w:asciiTheme="minorHAnsi" w:hAnsiTheme="minorHAnsi" w:cstheme="minorHAnsi"/>
          <w:sz w:val="22"/>
          <w:szCs w:val="22"/>
        </w:rPr>
        <w:t xml:space="preserve">Gli ulteriori incrementi delle quotazioni del grano tenero in Italia, </w:t>
      </w:r>
      <w:r w:rsidR="00AC5E55">
        <w:rPr>
          <w:rFonts w:asciiTheme="minorHAnsi" w:hAnsiTheme="minorHAnsi" w:cstheme="minorHAnsi"/>
          <w:sz w:val="22"/>
          <w:szCs w:val="22"/>
        </w:rPr>
        <w:t xml:space="preserve">con i grani di base destinati alla panificazione giunti a toccare il valore record di 330 €/t, hanno trascinato al rialzo anche i prezzi all’ingrosso della </w:t>
      </w:r>
      <w:r w:rsidR="00AC5E55" w:rsidRPr="00787443">
        <w:rPr>
          <w:rFonts w:asciiTheme="minorHAnsi" w:hAnsiTheme="minorHAnsi" w:cstheme="minorHAnsi"/>
          <w:b/>
          <w:bCs/>
          <w:sz w:val="22"/>
          <w:szCs w:val="22"/>
        </w:rPr>
        <w:t>farina</w:t>
      </w:r>
      <w:r w:rsidR="00AC5E55">
        <w:rPr>
          <w:rFonts w:asciiTheme="minorHAnsi" w:hAnsiTheme="minorHAnsi" w:cstheme="minorHAnsi"/>
          <w:sz w:val="22"/>
          <w:szCs w:val="22"/>
        </w:rPr>
        <w:t xml:space="preserve">, aumentati su base mensile del +5,8%. </w:t>
      </w:r>
      <w:r w:rsidR="00787443">
        <w:rPr>
          <w:rFonts w:asciiTheme="minorHAnsi" w:hAnsiTheme="minorHAnsi" w:cstheme="minorHAnsi"/>
          <w:sz w:val="22"/>
          <w:szCs w:val="22"/>
        </w:rPr>
        <w:t>Gli aumenti messi a segno negli ultimi mesi hanno condotto i prezzi attuali ad attestarsi su livelli superiori del 25%</w:t>
      </w:r>
      <w:r w:rsidR="00AC5E55">
        <w:rPr>
          <w:rFonts w:asciiTheme="minorHAnsi" w:hAnsiTheme="minorHAnsi" w:cstheme="minorHAnsi"/>
          <w:sz w:val="22"/>
          <w:szCs w:val="22"/>
        </w:rPr>
        <w:t xml:space="preserve"> rispetto ad un anno fa </w:t>
      </w:r>
      <w:r w:rsidR="00787443">
        <w:rPr>
          <w:rFonts w:asciiTheme="minorHAnsi" w:hAnsiTheme="minorHAnsi" w:cstheme="minorHAnsi"/>
          <w:sz w:val="22"/>
          <w:szCs w:val="22"/>
        </w:rPr>
        <w:t>e del 32% rispetto al</w:t>
      </w:r>
      <w:r w:rsidR="00AC5E55">
        <w:rPr>
          <w:rFonts w:asciiTheme="minorHAnsi" w:hAnsiTheme="minorHAnsi" w:cstheme="minorHAnsi"/>
          <w:sz w:val="22"/>
          <w:szCs w:val="22"/>
        </w:rPr>
        <w:t xml:space="preserve"> periodo </w:t>
      </w:r>
      <w:proofErr w:type="spellStart"/>
      <w:r w:rsidR="00AC5E55">
        <w:rPr>
          <w:rFonts w:asciiTheme="minorHAnsi" w:hAnsiTheme="minorHAnsi" w:cstheme="minorHAnsi"/>
          <w:sz w:val="22"/>
          <w:szCs w:val="22"/>
        </w:rPr>
        <w:t>pre</w:t>
      </w:r>
      <w:proofErr w:type="spellEnd"/>
      <w:r w:rsidR="00AC5E55">
        <w:rPr>
          <w:rFonts w:asciiTheme="minorHAnsi" w:hAnsiTheme="minorHAnsi" w:cstheme="minorHAnsi"/>
          <w:sz w:val="22"/>
          <w:szCs w:val="22"/>
        </w:rPr>
        <w:t>-Covid.</w:t>
      </w:r>
      <w:bookmarkEnd w:id="11"/>
      <w:r w:rsidR="00AC5E55">
        <w:rPr>
          <w:rFonts w:asciiTheme="minorHAnsi" w:hAnsiTheme="minorHAnsi" w:cstheme="minorHAnsi"/>
          <w:sz w:val="22"/>
          <w:szCs w:val="22"/>
        </w:rPr>
        <w:t xml:space="preserve"> </w:t>
      </w:r>
      <w:r w:rsidR="00787443">
        <w:rPr>
          <w:rFonts w:asciiTheme="minorHAnsi" w:hAnsiTheme="minorHAnsi" w:cstheme="minorHAnsi"/>
          <w:sz w:val="22"/>
          <w:szCs w:val="22"/>
        </w:rPr>
        <w:t xml:space="preserve">Dopo l’impennata dei mesi precedenti, a novembre i prezzi all’ingrosso della </w:t>
      </w:r>
      <w:r w:rsidR="00787443" w:rsidRPr="00566978">
        <w:rPr>
          <w:rFonts w:asciiTheme="minorHAnsi" w:hAnsiTheme="minorHAnsi" w:cstheme="minorHAnsi"/>
          <w:b/>
          <w:bCs/>
          <w:sz w:val="22"/>
          <w:szCs w:val="22"/>
        </w:rPr>
        <w:t>semola</w:t>
      </w:r>
      <w:r w:rsidR="00787443">
        <w:rPr>
          <w:rFonts w:asciiTheme="minorHAnsi" w:hAnsiTheme="minorHAnsi" w:cstheme="minorHAnsi"/>
          <w:sz w:val="22"/>
          <w:szCs w:val="22"/>
        </w:rPr>
        <w:t xml:space="preserve"> di grano duro hanno assunto un andamento maggiormente stabile, in linea con la frenata delle quotazioni che ha interessato il grano duro. </w:t>
      </w:r>
      <w:r w:rsidR="00566978">
        <w:rPr>
          <w:rFonts w:asciiTheme="minorHAnsi" w:hAnsiTheme="minorHAnsi" w:cstheme="minorHAnsi"/>
          <w:sz w:val="22"/>
          <w:szCs w:val="22"/>
        </w:rPr>
        <w:t>I prezzi della semola si mantengono comunque su livelli record</w:t>
      </w:r>
      <w:r w:rsidR="00787443">
        <w:rPr>
          <w:rFonts w:asciiTheme="minorHAnsi" w:hAnsiTheme="minorHAnsi" w:cstheme="minorHAnsi"/>
          <w:sz w:val="22"/>
          <w:szCs w:val="22"/>
        </w:rPr>
        <w:t>, con i prezzi di fatto raddoppiati sia rispe</w:t>
      </w:r>
      <w:r w:rsidR="00566978">
        <w:rPr>
          <w:rFonts w:asciiTheme="minorHAnsi" w:hAnsiTheme="minorHAnsi" w:cstheme="minorHAnsi"/>
          <w:sz w:val="22"/>
          <w:szCs w:val="22"/>
        </w:rPr>
        <w:t>tto al 2019 che al 2020.</w:t>
      </w:r>
    </w:p>
    <w:p w14:paraId="7C69DA95" w14:textId="63081634" w:rsidR="00DA618E" w:rsidRPr="00D91774" w:rsidRDefault="00DA618E" w:rsidP="00DA618E">
      <w:pPr>
        <w:spacing w:line="276" w:lineRule="auto"/>
        <w:rPr>
          <w:rFonts w:asciiTheme="minorHAnsi" w:hAnsiTheme="minorHAnsi" w:cstheme="minorHAnsi"/>
          <w:b/>
          <w:color w:val="4472C4" w:themeColor="accent5"/>
          <w:szCs w:val="24"/>
        </w:rPr>
      </w:pPr>
      <w:r w:rsidRPr="00D91774">
        <w:rPr>
          <w:rFonts w:asciiTheme="minorHAnsi" w:hAnsiTheme="minorHAnsi" w:cstheme="minorHAnsi"/>
          <w:b/>
          <w:color w:val="4472C4" w:themeColor="accent5"/>
          <w:szCs w:val="24"/>
        </w:rPr>
        <w:t xml:space="preserve">Vino, </w:t>
      </w:r>
      <w:r w:rsidR="00D91774" w:rsidRPr="00D91774">
        <w:rPr>
          <w:rFonts w:asciiTheme="minorHAnsi" w:hAnsiTheme="minorHAnsi" w:cstheme="minorHAnsi"/>
          <w:b/>
          <w:color w:val="4472C4" w:themeColor="accent5"/>
          <w:szCs w:val="24"/>
        </w:rPr>
        <w:t>rallenta la crescita a novembre</w:t>
      </w:r>
      <w:r w:rsidRPr="00D91774">
        <w:rPr>
          <w:rFonts w:asciiTheme="minorHAnsi" w:hAnsiTheme="minorHAnsi" w:cstheme="minorHAnsi"/>
          <w:b/>
          <w:color w:val="4472C4" w:themeColor="accent5"/>
          <w:szCs w:val="24"/>
        </w:rPr>
        <w:t xml:space="preserve"> </w:t>
      </w:r>
    </w:p>
    <w:p w14:paraId="03F371A8" w14:textId="7DB10BA0" w:rsidR="00DA618E" w:rsidRDefault="00D91774" w:rsidP="00DA618E">
      <w:pPr>
        <w:spacing w:after="120" w:line="276" w:lineRule="auto"/>
        <w:rPr>
          <w:rFonts w:ascii="Calibri" w:eastAsia="Calibri" w:hAnsi="Calibri"/>
          <w:sz w:val="22"/>
          <w:szCs w:val="22"/>
          <w:lang w:eastAsia="en-US"/>
        </w:rPr>
      </w:pPr>
      <w:r w:rsidRPr="00D91774">
        <w:rPr>
          <w:rFonts w:ascii="Calibri" w:eastAsia="Calibri" w:hAnsi="Calibri"/>
          <w:sz w:val="22"/>
          <w:szCs w:val="22"/>
          <w:lang w:eastAsia="en-US"/>
        </w:rPr>
        <w:t>I prezzi dei vini sfusi hanno registrato nel complesso un’ulteriore crescita a novembre (+0,7%), seppur meno accentuata rispetto a quanto visto nei tre mesi precedenti.</w:t>
      </w:r>
      <w:r>
        <w:rPr>
          <w:rFonts w:ascii="Calibri" w:eastAsia="Calibri" w:hAnsi="Calibri"/>
          <w:sz w:val="22"/>
          <w:szCs w:val="22"/>
          <w:lang w:eastAsia="en-US"/>
        </w:rPr>
        <w:t xml:space="preserve"> A </w:t>
      </w:r>
      <w:r w:rsidR="00EB56E2">
        <w:rPr>
          <w:rFonts w:ascii="Calibri" w:eastAsia="Calibri" w:hAnsi="Calibri"/>
          <w:sz w:val="22"/>
          <w:szCs w:val="22"/>
          <w:lang w:eastAsia="en-US"/>
        </w:rPr>
        <w:t>rallentare</w:t>
      </w:r>
      <w:r>
        <w:rPr>
          <w:rFonts w:ascii="Calibri" w:eastAsia="Calibri" w:hAnsi="Calibri"/>
          <w:sz w:val="22"/>
          <w:szCs w:val="22"/>
          <w:lang w:eastAsia="en-US"/>
        </w:rPr>
        <w:t xml:space="preserve"> sono stati soprattutto i </w:t>
      </w:r>
      <w:r w:rsidRPr="00D91774">
        <w:rPr>
          <w:rFonts w:ascii="Calibri" w:eastAsia="Calibri" w:hAnsi="Calibri"/>
          <w:b/>
          <w:bCs/>
          <w:sz w:val="22"/>
          <w:szCs w:val="22"/>
          <w:lang w:eastAsia="en-US"/>
        </w:rPr>
        <w:t>vini comuni</w:t>
      </w:r>
      <w:r>
        <w:rPr>
          <w:rFonts w:ascii="Calibri" w:eastAsia="Calibri" w:hAnsi="Calibri"/>
          <w:sz w:val="22"/>
          <w:szCs w:val="22"/>
          <w:lang w:eastAsia="en-US"/>
        </w:rPr>
        <w:t>, con i bianchi in calo del 2,4% rispetto a ottobre e i rossi di fatto invariati (+0,5%).</w:t>
      </w:r>
      <w:r w:rsidR="00EA216F">
        <w:rPr>
          <w:rFonts w:ascii="Calibri" w:eastAsia="Calibri" w:hAnsi="Calibri"/>
          <w:sz w:val="22"/>
          <w:szCs w:val="22"/>
          <w:lang w:eastAsia="en-US"/>
        </w:rPr>
        <w:t xml:space="preserve"> Tra i </w:t>
      </w:r>
      <w:r w:rsidR="00EA216F" w:rsidRPr="00EA216F">
        <w:rPr>
          <w:rFonts w:ascii="Calibri" w:eastAsia="Calibri" w:hAnsi="Calibri"/>
          <w:b/>
          <w:bCs/>
          <w:sz w:val="22"/>
          <w:szCs w:val="22"/>
          <w:lang w:eastAsia="en-US"/>
        </w:rPr>
        <w:t>vini a denominazione</w:t>
      </w:r>
      <w:r w:rsidR="00EA216F">
        <w:rPr>
          <w:rFonts w:ascii="Calibri" w:eastAsia="Calibri" w:hAnsi="Calibri"/>
          <w:sz w:val="22"/>
          <w:szCs w:val="22"/>
          <w:lang w:eastAsia="en-US"/>
        </w:rPr>
        <w:t xml:space="preserve">, segnali di frenata si sono registrati per i vini bianchi, passati dal +3,2% di ottobre al +1,8%. Per i rossi la crescita è invece rimasta superiore al +1%, in linea con quanto osservato nel mese precedente. Vivaci i listini degli spumanti-frizzanti (+2,3%), sempre sostenuti dalla crescita in atto per i vini spumanti </w:t>
      </w:r>
      <w:r w:rsidR="00EB56E2">
        <w:rPr>
          <w:rFonts w:ascii="Calibri" w:eastAsia="Calibri" w:hAnsi="Calibri"/>
          <w:sz w:val="22"/>
          <w:szCs w:val="22"/>
          <w:lang w:eastAsia="en-US"/>
        </w:rPr>
        <w:t xml:space="preserve">prodotti con metodo Charmat (+2,9%). </w:t>
      </w:r>
      <w:r w:rsidR="00493E5D">
        <w:rPr>
          <w:rFonts w:ascii="Calibri" w:eastAsia="Calibri" w:hAnsi="Calibri"/>
          <w:sz w:val="22"/>
          <w:szCs w:val="22"/>
          <w:lang w:eastAsia="en-US"/>
        </w:rPr>
        <w:t>Su base annua i</w:t>
      </w:r>
      <w:r w:rsidR="00EB56E2">
        <w:rPr>
          <w:rFonts w:ascii="Calibri" w:eastAsia="Calibri" w:hAnsi="Calibri"/>
          <w:sz w:val="22"/>
          <w:szCs w:val="22"/>
          <w:lang w:eastAsia="en-US"/>
        </w:rPr>
        <w:t xml:space="preserve"> listini dei vini sfusi </w:t>
      </w:r>
      <w:r w:rsidR="00493E5D">
        <w:rPr>
          <w:rFonts w:ascii="Calibri" w:eastAsia="Calibri" w:hAnsi="Calibri"/>
          <w:sz w:val="22"/>
          <w:szCs w:val="22"/>
          <w:lang w:eastAsia="en-US"/>
        </w:rPr>
        <w:t xml:space="preserve">spuntano un rialzo del </w:t>
      </w:r>
      <w:bookmarkStart w:id="12" w:name="_Hlk90488708"/>
      <w:r w:rsidR="00493E5D">
        <w:rPr>
          <w:rFonts w:ascii="Calibri" w:eastAsia="Calibri" w:hAnsi="Calibri"/>
          <w:sz w:val="22"/>
          <w:szCs w:val="22"/>
          <w:lang w:eastAsia="en-US"/>
        </w:rPr>
        <w:t>+15%. A spiccare sono gli incrementi messi a segno dai vini comuni, compresi tra il +17% dei rossi e il +32% dei rosati, e dei vini spumanti-frizzanti, nell’ordine del +15%. Tra i vini a denominazione, crescita a doppia cifra per i rossi</w:t>
      </w:r>
      <w:bookmarkEnd w:id="12"/>
      <w:r w:rsidR="00493E5D">
        <w:rPr>
          <w:rFonts w:ascii="Calibri" w:eastAsia="Calibri" w:hAnsi="Calibri"/>
          <w:sz w:val="22"/>
          <w:szCs w:val="22"/>
          <w:lang w:eastAsia="en-US"/>
        </w:rPr>
        <w:t>.</w:t>
      </w:r>
    </w:p>
    <w:p w14:paraId="6BB9F248" w14:textId="2B2F4656" w:rsidR="00DA618E" w:rsidRPr="0037333D" w:rsidRDefault="00DA618E" w:rsidP="00DA618E">
      <w:pPr>
        <w:spacing w:line="276" w:lineRule="auto"/>
        <w:rPr>
          <w:rFonts w:asciiTheme="minorHAnsi" w:hAnsiTheme="minorHAnsi" w:cstheme="minorHAnsi"/>
          <w:b/>
          <w:color w:val="4472C4" w:themeColor="accent5"/>
          <w:szCs w:val="24"/>
        </w:rPr>
      </w:pPr>
      <w:r w:rsidRPr="0037333D">
        <w:rPr>
          <w:rFonts w:asciiTheme="minorHAnsi" w:hAnsiTheme="minorHAnsi" w:cstheme="minorHAnsi"/>
          <w:b/>
          <w:color w:val="4472C4" w:themeColor="accent5"/>
          <w:szCs w:val="24"/>
        </w:rPr>
        <w:t xml:space="preserve">Oli e grassi, prezzi del burro </w:t>
      </w:r>
      <w:r w:rsidR="00DA1CEC" w:rsidRPr="0037333D">
        <w:rPr>
          <w:rFonts w:asciiTheme="minorHAnsi" w:hAnsiTheme="minorHAnsi" w:cstheme="minorHAnsi"/>
          <w:b/>
          <w:color w:val="4472C4" w:themeColor="accent5"/>
          <w:szCs w:val="24"/>
        </w:rPr>
        <w:t>raddoppiati rispetto a un anno fa</w:t>
      </w:r>
    </w:p>
    <w:p w14:paraId="25B8D0C8" w14:textId="562DD907" w:rsidR="006C5EDF" w:rsidRDefault="00E3152C" w:rsidP="00DA618E">
      <w:pPr>
        <w:spacing w:after="120" w:line="276" w:lineRule="auto"/>
        <w:rPr>
          <w:rFonts w:asciiTheme="minorHAnsi" w:hAnsiTheme="minorHAnsi" w:cstheme="minorHAnsi"/>
          <w:sz w:val="22"/>
          <w:szCs w:val="22"/>
        </w:rPr>
      </w:pPr>
      <w:r>
        <w:rPr>
          <w:rFonts w:asciiTheme="minorHAnsi" w:hAnsiTheme="minorHAnsi" w:cstheme="minorHAnsi"/>
          <w:sz w:val="22"/>
          <w:szCs w:val="22"/>
        </w:rPr>
        <w:t xml:space="preserve">Nel comparto degli oli e grassi il </w:t>
      </w:r>
      <w:r w:rsidRPr="006C5EDF">
        <w:rPr>
          <w:rFonts w:asciiTheme="minorHAnsi" w:hAnsiTheme="minorHAnsi" w:cstheme="minorHAnsi"/>
          <w:b/>
          <w:bCs/>
          <w:sz w:val="22"/>
          <w:szCs w:val="22"/>
        </w:rPr>
        <w:t>burro</w:t>
      </w:r>
      <w:r>
        <w:rPr>
          <w:rFonts w:asciiTheme="minorHAnsi" w:hAnsiTheme="minorHAnsi" w:cstheme="minorHAnsi"/>
          <w:sz w:val="22"/>
          <w:szCs w:val="22"/>
        </w:rPr>
        <w:t xml:space="preserve"> è stato autore a novembre di un’ulteriore progressione mensile, mettendo a segno un incremento superiore al +20%. I rialzi si sono verificati però nella prima parte del mese; nel prosieguo è tornata infatti a prevalere una maggiore stabilità</w:t>
      </w:r>
      <w:r w:rsidR="006C5EDF">
        <w:rPr>
          <w:rFonts w:asciiTheme="minorHAnsi" w:hAnsiTheme="minorHAnsi" w:cstheme="minorHAnsi"/>
          <w:sz w:val="22"/>
          <w:szCs w:val="22"/>
        </w:rPr>
        <w:t xml:space="preserve"> nei listini, con qualche segnale di ribasso in chiusura di mese. I prezzi restano però su livelli </w:t>
      </w:r>
      <w:r w:rsidR="00761D50">
        <w:rPr>
          <w:rFonts w:asciiTheme="minorHAnsi" w:hAnsiTheme="minorHAnsi" w:cstheme="minorHAnsi"/>
          <w:sz w:val="22"/>
          <w:szCs w:val="22"/>
        </w:rPr>
        <w:t xml:space="preserve">molto </w:t>
      </w:r>
      <w:r w:rsidR="006C5EDF">
        <w:rPr>
          <w:rFonts w:asciiTheme="minorHAnsi" w:hAnsiTheme="minorHAnsi" w:cstheme="minorHAnsi"/>
          <w:sz w:val="22"/>
          <w:szCs w:val="22"/>
        </w:rPr>
        <w:t>elevati</w:t>
      </w:r>
      <w:r w:rsidR="00761D50">
        <w:rPr>
          <w:rFonts w:asciiTheme="minorHAnsi" w:hAnsiTheme="minorHAnsi" w:cstheme="minorHAnsi"/>
          <w:sz w:val="22"/>
          <w:szCs w:val="22"/>
        </w:rPr>
        <w:t xml:space="preserve"> e oltre a essere raddoppiati nell’ultimo anno, registrano una crescita di quasi il 90% rispetto al periodo </w:t>
      </w:r>
      <w:proofErr w:type="spellStart"/>
      <w:r w:rsidR="00761D50">
        <w:rPr>
          <w:rFonts w:asciiTheme="minorHAnsi" w:hAnsiTheme="minorHAnsi" w:cstheme="minorHAnsi"/>
          <w:sz w:val="22"/>
          <w:szCs w:val="22"/>
        </w:rPr>
        <w:t>pre</w:t>
      </w:r>
      <w:proofErr w:type="spellEnd"/>
      <w:r w:rsidR="00761D50">
        <w:rPr>
          <w:rFonts w:asciiTheme="minorHAnsi" w:hAnsiTheme="minorHAnsi" w:cstheme="minorHAnsi"/>
          <w:sz w:val="22"/>
          <w:szCs w:val="22"/>
        </w:rPr>
        <w:t>-Covid.</w:t>
      </w:r>
      <w:r w:rsidR="007F5575">
        <w:rPr>
          <w:rFonts w:asciiTheme="minorHAnsi" w:hAnsiTheme="minorHAnsi" w:cstheme="minorHAnsi"/>
          <w:sz w:val="22"/>
          <w:szCs w:val="22"/>
        </w:rPr>
        <w:t xml:space="preserve"> Guidati dall’olio di girasole, i prezzi degli </w:t>
      </w:r>
      <w:r w:rsidR="007F5575" w:rsidRPr="00177260">
        <w:rPr>
          <w:rFonts w:asciiTheme="minorHAnsi" w:hAnsiTheme="minorHAnsi" w:cstheme="minorHAnsi"/>
          <w:b/>
          <w:bCs/>
          <w:sz w:val="22"/>
          <w:szCs w:val="22"/>
        </w:rPr>
        <w:t>oli di semi</w:t>
      </w:r>
      <w:r w:rsidR="007F5575">
        <w:rPr>
          <w:rFonts w:asciiTheme="minorHAnsi" w:hAnsiTheme="minorHAnsi" w:cstheme="minorHAnsi"/>
          <w:sz w:val="22"/>
          <w:szCs w:val="22"/>
        </w:rPr>
        <w:t xml:space="preserve"> sono cresciuti a novembre per il quarto mese consecutivo (+3,4%)</w:t>
      </w:r>
      <w:r w:rsidR="00177260">
        <w:rPr>
          <w:rFonts w:asciiTheme="minorHAnsi" w:hAnsiTheme="minorHAnsi" w:cstheme="minorHAnsi"/>
          <w:sz w:val="22"/>
          <w:szCs w:val="22"/>
        </w:rPr>
        <w:t xml:space="preserve"> e rimangono più alti di quasi il 40% rispetto allo scorso anno. </w:t>
      </w:r>
      <w:r w:rsidR="00F56903">
        <w:rPr>
          <w:rFonts w:asciiTheme="minorHAnsi" w:hAnsiTheme="minorHAnsi" w:cstheme="minorHAnsi"/>
          <w:sz w:val="22"/>
          <w:szCs w:val="22"/>
        </w:rPr>
        <w:t>L’avvio di nuova annata è stato segnato da un n</w:t>
      </w:r>
      <w:r w:rsidR="00177260">
        <w:rPr>
          <w:rFonts w:asciiTheme="minorHAnsi" w:hAnsiTheme="minorHAnsi" w:cstheme="minorHAnsi"/>
          <w:sz w:val="22"/>
          <w:szCs w:val="22"/>
        </w:rPr>
        <w:t>etto calo</w:t>
      </w:r>
      <w:r w:rsidR="00F56903">
        <w:rPr>
          <w:rFonts w:asciiTheme="minorHAnsi" w:hAnsiTheme="minorHAnsi" w:cstheme="minorHAnsi"/>
          <w:sz w:val="22"/>
          <w:szCs w:val="22"/>
        </w:rPr>
        <w:t xml:space="preserve"> </w:t>
      </w:r>
      <w:r w:rsidR="00177260">
        <w:rPr>
          <w:rFonts w:asciiTheme="minorHAnsi" w:hAnsiTheme="minorHAnsi" w:cstheme="minorHAnsi"/>
          <w:sz w:val="22"/>
          <w:szCs w:val="22"/>
        </w:rPr>
        <w:t>per l’</w:t>
      </w:r>
      <w:r w:rsidR="00177260" w:rsidRPr="00F56903">
        <w:rPr>
          <w:rFonts w:asciiTheme="minorHAnsi" w:hAnsiTheme="minorHAnsi" w:cstheme="minorHAnsi"/>
          <w:b/>
          <w:bCs/>
          <w:sz w:val="22"/>
          <w:szCs w:val="22"/>
        </w:rPr>
        <w:t>olio di oliva</w:t>
      </w:r>
      <w:r w:rsidR="00177260">
        <w:rPr>
          <w:rFonts w:asciiTheme="minorHAnsi" w:hAnsiTheme="minorHAnsi" w:cstheme="minorHAnsi"/>
          <w:sz w:val="22"/>
          <w:szCs w:val="22"/>
        </w:rPr>
        <w:t xml:space="preserve"> (-</w:t>
      </w:r>
      <w:r w:rsidR="00177260">
        <w:rPr>
          <w:rFonts w:asciiTheme="minorHAnsi" w:hAnsiTheme="minorHAnsi" w:cstheme="minorHAnsi"/>
          <w:sz w:val="22"/>
          <w:szCs w:val="22"/>
        </w:rPr>
        <w:lastRenderedPageBreak/>
        <w:t>4,1% rispetto a ottobre)</w:t>
      </w:r>
      <w:r w:rsidR="00F56903">
        <w:rPr>
          <w:rFonts w:asciiTheme="minorHAnsi" w:hAnsiTheme="minorHAnsi" w:cstheme="minorHAnsi"/>
          <w:sz w:val="22"/>
          <w:szCs w:val="22"/>
        </w:rPr>
        <w:t xml:space="preserve">. La variazione su base annua torna così ad essere negativa, passando dal +7,7% di ottobre all’attuale -3,9%. </w:t>
      </w:r>
    </w:p>
    <w:p w14:paraId="70581AB7" w14:textId="726370A0" w:rsidR="00782762" w:rsidRPr="000245E4" w:rsidRDefault="00782762" w:rsidP="00782762">
      <w:pPr>
        <w:spacing w:line="276" w:lineRule="auto"/>
        <w:rPr>
          <w:rFonts w:asciiTheme="minorHAnsi" w:hAnsiTheme="minorHAnsi" w:cstheme="minorHAnsi"/>
          <w:b/>
          <w:color w:val="4472C4" w:themeColor="accent5"/>
          <w:szCs w:val="24"/>
        </w:rPr>
      </w:pPr>
      <w:bookmarkStart w:id="13" w:name="_Hlk38041354"/>
      <w:bookmarkEnd w:id="4"/>
      <w:bookmarkEnd w:id="5"/>
      <w:bookmarkEnd w:id="6"/>
      <w:r w:rsidRPr="000245E4">
        <w:rPr>
          <w:rFonts w:asciiTheme="minorHAnsi" w:hAnsiTheme="minorHAnsi" w:cstheme="minorHAnsi"/>
          <w:b/>
          <w:color w:val="4472C4" w:themeColor="accent5"/>
          <w:szCs w:val="24"/>
        </w:rPr>
        <w:t xml:space="preserve">Ittico, </w:t>
      </w:r>
      <w:r w:rsidR="00874F22" w:rsidRPr="000245E4">
        <w:rPr>
          <w:rFonts w:asciiTheme="minorHAnsi" w:hAnsiTheme="minorHAnsi" w:cstheme="minorHAnsi"/>
          <w:b/>
          <w:color w:val="4472C4" w:themeColor="accent5"/>
          <w:szCs w:val="24"/>
        </w:rPr>
        <w:t xml:space="preserve">i prezzi del pescato fresco </w:t>
      </w:r>
      <w:r w:rsidR="000245E4" w:rsidRPr="000245E4">
        <w:rPr>
          <w:rFonts w:asciiTheme="minorHAnsi" w:hAnsiTheme="minorHAnsi" w:cstheme="minorHAnsi"/>
          <w:b/>
          <w:color w:val="4472C4" w:themeColor="accent5"/>
          <w:szCs w:val="24"/>
        </w:rPr>
        <w:t xml:space="preserve">si confermano </w:t>
      </w:r>
      <w:r w:rsidR="000245E4" w:rsidRPr="000245E4">
        <w:rPr>
          <w:rFonts w:asciiTheme="minorHAnsi" w:hAnsiTheme="minorHAnsi" w:cstheme="minorHAnsi"/>
          <w:b/>
          <w:color w:val="4472C4" w:themeColor="accent5"/>
          <w:szCs w:val="24"/>
        </w:rPr>
        <w:t>in crescita</w:t>
      </w:r>
      <w:r w:rsidR="000245E4" w:rsidRPr="000245E4">
        <w:rPr>
          <w:rFonts w:asciiTheme="minorHAnsi" w:hAnsiTheme="minorHAnsi" w:cstheme="minorHAnsi"/>
          <w:b/>
          <w:color w:val="4472C4" w:themeColor="accent5"/>
          <w:szCs w:val="24"/>
        </w:rPr>
        <w:t xml:space="preserve"> </w:t>
      </w:r>
      <w:r w:rsidR="00874F22" w:rsidRPr="000245E4">
        <w:rPr>
          <w:rFonts w:asciiTheme="minorHAnsi" w:hAnsiTheme="minorHAnsi" w:cstheme="minorHAnsi"/>
          <w:b/>
          <w:color w:val="4472C4" w:themeColor="accent5"/>
          <w:szCs w:val="24"/>
        </w:rPr>
        <w:t>rispetto ad un anno fa</w:t>
      </w:r>
    </w:p>
    <w:p w14:paraId="66BA2240" w14:textId="77777777" w:rsidR="00262E72" w:rsidRPr="00262E72" w:rsidRDefault="00262E72" w:rsidP="00262E72">
      <w:pPr>
        <w:spacing w:after="200" w:line="276" w:lineRule="auto"/>
        <w:rPr>
          <w:rFonts w:ascii="Calibri" w:eastAsia="Calibri" w:hAnsi="Calibri"/>
          <w:sz w:val="22"/>
          <w:szCs w:val="22"/>
          <w:lang w:eastAsia="en-US"/>
        </w:rPr>
      </w:pPr>
      <w:r w:rsidRPr="00262E72">
        <w:rPr>
          <w:rFonts w:ascii="Calibri" w:eastAsia="Calibri" w:hAnsi="Calibri"/>
          <w:sz w:val="22"/>
          <w:szCs w:val="22"/>
          <w:lang w:eastAsia="en-US"/>
        </w:rPr>
        <w:t>L’andamento dei prezzi dei prodotti ittici nel mese di novembre rispetto a ottobre non ha mostrato variazioni rilevanti, fatta eccezione per alcuni prodotti pescati, le cui catture hanno risentito di variazioni legate all’andamento stagionale. Per quanto riguarda le quotazioni su base annua, si consolidano invece alcuni trend evidenziati nei mesi precedenti.</w:t>
      </w:r>
    </w:p>
    <w:p w14:paraId="0DC0D6A2" w14:textId="77777777" w:rsidR="00262E72" w:rsidRPr="00262E72" w:rsidRDefault="00262E72" w:rsidP="00262E72">
      <w:pPr>
        <w:spacing w:after="200" w:line="276" w:lineRule="auto"/>
        <w:rPr>
          <w:rFonts w:ascii="Calibri" w:eastAsia="Calibri" w:hAnsi="Calibri"/>
          <w:sz w:val="22"/>
          <w:szCs w:val="22"/>
          <w:lang w:eastAsia="en-US"/>
        </w:rPr>
      </w:pPr>
      <w:r w:rsidRPr="00262E72">
        <w:rPr>
          <w:rFonts w:ascii="Calibri" w:eastAsia="Calibri" w:hAnsi="Calibri"/>
          <w:sz w:val="22"/>
          <w:szCs w:val="22"/>
          <w:lang w:eastAsia="en-US"/>
        </w:rPr>
        <w:t>Nella categoria “</w:t>
      </w:r>
      <w:r w:rsidRPr="00262E72">
        <w:rPr>
          <w:rFonts w:ascii="Calibri" w:eastAsia="Calibri" w:hAnsi="Calibri"/>
          <w:b/>
          <w:bCs/>
          <w:sz w:val="22"/>
          <w:szCs w:val="22"/>
          <w:lang w:eastAsia="en-US"/>
        </w:rPr>
        <w:t>pesci freschi di mare di pescata</w:t>
      </w:r>
      <w:r w:rsidRPr="00262E72">
        <w:rPr>
          <w:rFonts w:ascii="Calibri" w:eastAsia="Calibri" w:hAnsi="Calibri"/>
          <w:sz w:val="22"/>
          <w:szCs w:val="22"/>
          <w:lang w:eastAsia="en-US"/>
        </w:rPr>
        <w:t xml:space="preserve">” l’unica variazione mensile negativa e accentuata si è riscontrata per il prezzo della sogliola (-9,6%) in contrasto con l’andamento su base annua che vede un forte aumento (+26,5%). Tale variazione probabilmente rientra nell’andamento stagionale: novembre è uno dei periodi di maggior pesca di questa specie che in questo mese abbandona la costa per entrare nel mare aperto. Le alici hanno avuto un incremento dei prezzi su base mensile (+13,4%) dovuto probabilmente alle minor catture di questa specie dal momento che la pesca a circuizione si ferma in autunno-inverno. Tale aumento va a rafforzare quello su base annua. In modo simile è aumentato, in novembre, il prezzo delle spatole (+9,9%) dal momento che ad ottobre termina il periodo di pesca di questo pesce. Il dentice ha avuto un importante incremento del prezzo mensile, riconducibile verosimilmente all’elevata pressione di pesca a cui è sottoposta questa specie e che ne ha limitato la presenza nei nostri mari.  È da notare che su base annua tutti i prezzi hanno subito un incremento, con le sole eccezioni del cefalo, pesce che incontra sempre meno il favore dei consumatori. </w:t>
      </w:r>
      <w:bookmarkStart w:id="14" w:name="_Hlk90489345"/>
      <w:r w:rsidRPr="00262E72">
        <w:rPr>
          <w:rFonts w:ascii="Calibri" w:eastAsia="Calibri" w:hAnsi="Calibri"/>
          <w:sz w:val="22"/>
          <w:szCs w:val="22"/>
          <w:lang w:eastAsia="en-US"/>
        </w:rPr>
        <w:t>L’aumento generale dei prezzi del pescato fresco è da porre in relazione con una diminuzione generale delle catture dal momento che non risultano variazioni significative riguardanti la domanda</w:t>
      </w:r>
      <w:bookmarkEnd w:id="14"/>
      <w:r w:rsidRPr="00262E72">
        <w:rPr>
          <w:rFonts w:ascii="Calibri" w:eastAsia="Calibri" w:hAnsi="Calibri"/>
          <w:sz w:val="22"/>
          <w:szCs w:val="22"/>
          <w:lang w:eastAsia="en-US"/>
        </w:rPr>
        <w:t>. Sono diverse le specie commercialmente importanti per le quali nell’ultimo anno il prezzo medio di vendita è aumentato in modo significativo: alice, dentice, pesce spada, sogliole, rombo, triglie; probabilmente, l’elevata pressione di pesca ha diminuito la presenza di questi pesci nei nostri mari.</w:t>
      </w:r>
    </w:p>
    <w:p w14:paraId="39F6AF1D" w14:textId="77777777" w:rsidR="00262E72" w:rsidRPr="00262E72" w:rsidRDefault="00262E72" w:rsidP="00262E72">
      <w:pPr>
        <w:spacing w:after="200" w:line="276" w:lineRule="auto"/>
        <w:rPr>
          <w:rFonts w:ascii="Calibri" w:eastAsia="Calibri" w:hAnsi="Calibri"/>
          <w:sz w:val="22"/>
          <w:szCs w:val="22"/>
          <w:lang w:eastAsia="en-US"/>
        </w:rPr>
      </w:pPr>
      <w:r w:rsidRPr="00262E72">
        <w:rPr>
          <w:rFonts w:ascii="Calibri" w:eastAsia="Calibri" w:hAnsi="Calibri"/>
          <w:sz w:val="22"/>
          <w:szCs w:val="22"/>
          <w:lang w:eastAsia="en-US"/>
        </w:rPr>
        <w:t>Questa problematica si evidenzia anche nelle categorie “</w:t>
      </w:r>
      <w:r w:rsidRPr="00262E72">
        <w:rPr>
          <w:rFonts w:ascii="Calibri" w:eastAsia="Calibri" w:hAnsi="Calibri"/>
          <w:b/>
          <w:bCs/>
          <w:sz w:val="22"/>
          <w:szCs w:val="22"/>
          <w:lang w:eastAsia="en-US"/>
        </w:rPr>
        <w:t>crostacei freschi</w:t>
      </w:r>
      <w:r w:rsidRPr="00262E72">
        <w:rPr>
          <w:rFonts w:ascii="Calibri" w:eastAsia="Calibri" w:hAnsi="Calibri"/>
          <w:sz w:val="22"/>
          <w:szCs w:val="22"/>
          <w:lang w:eastAsia="en-US"/>
        </w:rPr>
        <w:t>” e “</w:t>
      </w:r>
      <w:r w:rsidRPr="00262E72">
        <w:rPr>
          <w:rFonts w:ascii="Calibri" w:eastAsia="Calibri" w:hAnsi="Calibri"/>
          <w:b/>
          <w:bCs/>
          <w:sz w:val="22"/>
          <w:szCs w:val="22"/>
          <w:lang w:eastAsia="en-US"/>
        </w:rPr>
        <w:t>molluschi freschi</w:t>
      </w:r>
      <w:r w:rsidRPr="00262E72">
        <w:rPr>
          <w:rFonts w:ascii="Calibri" w:eastAsia="Calibri" w:hAnsi="Calibri"/>
          <w:sz w:val="22"/>
          <w:szCs w:val="22"/>
          <w:lang w:eastAsia="en-US"/>
        </w:rPr>
        <w:t xml:space="preserve">” dove si evidenzia un forte aumento su base annua di specie ittiche pregiate come gamberi bianchi, scampi, calamari, seppie. Fra i crostacei vi è stata una forte diminuzione del prezzo su base mensile (-13,2%) del gambero bianco dovuto ad un aumento stagionale. Nella categoria “molluschi freschi” è stato rilevante anche l’aumento su base annua del prezzo dei mitili. Evidentemente il forte caldo e l’assenza di pioggia registrata nei mesi primaverili hanno condizionato negativamente la mitilicoltura nel 2021. </w:t>
      </w:r>
    </w:p>
    <w:p w14:paraId="7F05D550" w14:textId="5B5AF573" w:rsidR="00782762" w:rsidRPr="008E4E35" w:rsidRDefault="00262E72" w:rsidP="00262E72">
      <w:pPr>
        <w:spacing w:after="200" w:line="276" w:lineRule="auto"/>
        <w:rPr>
          <w:rFonts w:ascii="Calibri" w:eastAsia="Calibri" w:hAnsi="Calibri"/>
          <w:sz w:val="22"/>
          <w:szCs w:val="22"/>
          <w:lang w:eastAsia="en-US"/>
        </w:rPr>
      </w:pPr>
      <w:r w:rsidRPr="00262E72">
        <w:rPr>
          <w:rFonts w:ascii="Calibri" w:eastAsia="Calibri" w:hAnsi="Calibri"/>
          <w:sz w:val="22"/>
          <w:szCs w:val="22"/>
          <w:lang w:eastAsia="en-US"/>
        </w:rPr>
        <w:t>Un’importante flessione su base annua è stata rilevata dal prezzo della trota salmonata (-28,2%), probabilmente in seguito ad alcune polemiche legate al tipo di mangime usato negli allevamenti che ha determinato uno scarso interesse da parte del consumatore mentre è aumentato in modo rilevante il prezzo del salmone fresco su base annua (+24,7%), prodotto di acquacoltura che incontra un sempre maggior favore da parte dei consumatori.</w:t>
      </w:r>
      <w:r>
        <w:rPr>
          <w:rFonts w:ascii="Calibri" w:eastAsia="Calibri" w:hAnsi="Calibri"/>
          <w:sz w:val="22"/>
          <w:szCs w:val="22"/>
          <w:lang w:eastAsia="en-US"/>
        </w:rPr>
        <w:t xml:space="preserve"> </w:t>
      </w:r>
      <w:r w:rsidRPr="00262E72">
        <w:rPr>
          <w:rFonts w:ascii="Calibri" w:eastAsia="Calibri" w:hAnsi="Calibri"/>
          <w:sz w:val="22"/>
          <w:szCs w:val="22"/>
          <w:lang w:eastAsia="en-US"/>
        </w:rPr>
        <w:t xml:space="preserve">Le quotazioni dei molluschi e crostacei surgelati hanno subìto un incremento </w:t>
      </w:r>
      <w:r w:rsidRPr="00262E72">
        <w:rPr>
          <w:rFonts w:ascii="Calibri" w:eastAsia="Calibri" w:hAnsi="Calibri"/>
          <w:sz w:val="22"/>
          <w:szCs w:val="22"/>
          <w:lang w:eastAsia="en-US"/>
        </w:rPr>
        <w:lastRenderedPageBreak/>
        <w:t>rilevante su base annua, rispettivamente +15,4 e 54,9% in modo rispondente a quanto rilevato per i prodotti freschi.</w:t>
      </w:r>
    </w:p>
    <w:p w14:paraId="27F18040" w14:textId="68BDE81A" w:rsidR="001B204C" w:rsidRPr="001B204C" w:rsidRDefault="001B204C" w:rsidP="001737D2">
      <w:pPr>
        <w:spacing w:before="120" w:line="276" w:lineRule="auto"/>
        <w:rPr>
          <w:rFonts w:asciiTheme="minorHAnsi" w:hAnsiTheme="minorHAnsi" w:cs="Arial"/>
          <w:b/>
          <w:bCs/>
          <w:iCs/>
          <w:sz w:val="20"/>
        </w:rPr>
      </w:pPr>
      <w:r w:rsidRPr="001B204C">
        <w:rPr>
          <w:rFonts w:asciiTheme="minorHAnsi" w:hAnsiTheme="minorHAnsi" w:cs="Arial"/>
          <w:b/>
          <w:bCs/>
          <w:iCs/>
          <w:sz w:val="20"/>
        </w:rPr>
        <w:t>Tabella 1: Indice dei prezzi ufficiali all’ingrosso di Riso e Cereali, Carni, Latte, formaggi e uova, Oli e grassi</w:t>
      </w:r>
    </w:p>
    <w:p w14:paraId="33C47177" w14:textId="78E05663" w:rsidR="0047261B" w:rsidRPr="00821C8A" w:rsidRDefault="00F2508D" w:rsidP="00821C8A">
      <w:pPr>
        <w:spacing w:line="276" w:lineRule="auto"/>
        <w:rPr>
          <w:rFonts w:asciiTheme="minorHAnsi" w:hAnsiTheme="minorHAnsi" w:cstheme="minorHAnsi"/>
          <w:i/>
          <w:sz w:val="18"/>
          <w:szCs w:val="18"/>
        </w:rPr>
      </w:pPr>
      <w:r w:rsidRPr="00F2508D">
        <w:rPr>
          <w:noProof/>
        </w:rPr>
        <w:drawing>
          <wp:inline distT="0" distB="0" distL="0" distR="0" wp14:anchorId="6A6D0110" wp14:editId="6680D557">
            <wp:extent cx="5400000" cy="4452632"/>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4452632"/>
                    </a:xfrm>
                    <a:prstGeom prst="rect">
                      <a:avLst/>
                    </a:prstGeom>
                    <a:noFill/>
                    <a:ln>
                      <a:noFill/>
                    </a:ln>
                  </pic:spPr>
                </pic:pic>
              </a:graphicData>
            </a:graphic>
          </wp:inline>
        </w:drawing>
      </w:r>
      <w:r w:rsidR="00117EEA">
        <w:rPr>
          <w:rFonts w:asciiTheme="minorHAnsi" w:hAnsiTheme="minorHAnsi" w:cs="Arial"/>
          <w:i/>
          <w:sz w:val="20"/>
        </w:rPr>
        <w:br w:type="textWrapping" w:clear="all"/>
      </w:r>
      <w:r w:rsidR="00677A93" w:rsidRPr="00821C8A">
        <w:rPr>
          <w:rFonts w:asciiTheme="minorHAnsi" w:hAnsiTheme="minorHAnsi" w:cstheme="minorHAnsi"/>
          <w:i/>
          <w:sz w:val="18"/>
          <w:szCs w:val="18"/>
        </w:rPr>
        <w:t xml:space="preserve">Fonte: </w:t>
      </w:r>
      <w:r w:rsidR="0047261B" w:rsidRPr="00821C8A">
        <w:rPr>
          <w:rFonts w:asciiTheme="minorHAnsi" w:hAnsiTheme="minorHAnsi" w:cstheme="minorHAnsi"/>
          <w:i/>
          <w:sz w:val="18"/>
          <w:szCs w:val="18"/>
        </w:rPr>
        <w:t>elaborazione Unioncamere-BMTI su dati Camere di Commercio, Borse Merci e Commissioni Uniche Nazionali</w:t>
      </w:r>
    </w:p>
    <w:p w14:paraId="62310342" w14:textId="0D56DD23" w:rsidR="00821C8A" w:rsidRPr="00821C8A" w:rsidRDefault="00821C8A" w:rsidP="00821C8A">
      <w:pPr>
        <w:spacing w:line="276" w:lineRule="auto"/>
        <w:rPr>
          <w:rFonts w:asciiTheme="minorHAnsi" w:hAnsiTheme="minorHAnsi" w:cstheme="minorHAnsi"/>
          <w:i/>
          <w:sz w:val="18"/>
          <w:szCs w:val="18"/>
        </w:rPr>
      </w:pPr>
      <w:r w:rsidRPr="00821C8A">
        <w:rPr>
          <w:rFonts w:asciiTheme="minorHAnsi" w:hAnsiTheme="minorHAnsi" w:cstheme="minorHAnsi"/>
          <w:i/>
          <w:sz w:val="18"/>
          <w:szCs w:val="18"/>
        </w:rPr>
        <w:t xml:space="preserve">Nota metodologica su </w:t>
      </w:r>
      <w:r w:rsidRPr="00821C8A">
        <w:rPr>
          <w:rStyle w:val="Collegamentoipertestuale"/>
          <w:rFonts w:asciiTheme="minorHAnsi" w:hAnsiTheme="minorHAnsi" w:cstheme="minorHAnsi"/>
          <w:i/>
          <w:sz w:val="18"/>
          <w:szCs w:val="18"/>
        </w:rPr>
        <w:t>https://www.bmti.it/archivio-indice-prezzi-ingrosso</w:t>
      </w:r>
    </w:p>
    <w:p w14:paraId="7D6600E4" w14:textId="47D4192F" w:rsidR="001B204C" w:rsidRDefault="001B204C">
      <w:pPr>
        <w:spacing w:after="160" w:line="259" w:lineRule="auto"/>
        <w:jc w:val="left"/>
        <w:rPr>
          <w:noProof/>
        </w:rPr>
      </w:pPr>
      <w:r>
        <w:rPr>
          <w:noProof/>
        </w:rPr>
        <w:br w:type="page"/>
      </w:r>
    </w:p>
    <w:p w14:paraId="6D8CF8E3" w14:textId="047B595C" w:rsidR="001B204C" w:rsidRPr="001B204C" w:rsidRDefault="001B204C" w:rsidP="001737D2">
      <w:pPr>
        <w:spacing w:before="120" w:line="276" w:lineRule="auto"/>
        <w:rPr>
          <w:rFonts w:asciiTheme="minorHAnsi" w:hAnsiTheme="minorHAnsi" w:cs="Arial"/>
          <w:b/>
          <w:bCs/>
          <w:iCs/>
          <w:sz w:val="20"/>
        </w:rPr>
      </w:pPr>
      <w:r w:rsidRPr="001B204C">
        <w:rPr>
          <w:rFonts w:asciiTheme="minorHAnsi" w:hAnsiTheme="minorHAnsi" w:cs="Arial"/>
          <w:b/>
          <w:bCs/>
          <w:iCs/>
          <w:sz w:val="20"/>
        </w:rPr>
        <w:lastRenderedPageBreak/>
        <w:t xml:space="preserve">Tabella </w:t>
      </w:r>
      <w:r>
        <w:rPr>
          <w:rFonts w:asciiTheme="minorHAnsi" w:hAnsiTheme="minorHAnsi" w:cs="Arial"/>
          <w:b/>
          <w:bCs/>
          <w:iCs/>
          <w:sz w:val="20"/>
        </w:rPr>
        <w:t>2</w:t>
      </w:r>
      <w:r w:rsidRPr="001B204C">
        <w:rPr>
          <w:rFonts w:asciiTheme="minorHAnsi" w:hAnsiTheme="minorHAnsi" w:cs="Arial"/>
          <w:b/>
          <w:bCs/>
          <w:iCs/>
          <w:sz w:val="20"/>
        </w:rPr>
        <w:t xml:space="preserve">: Indice dei prezzi ufficiali all’ingrosso </w:t>
      </w:r>
      <w:r>
        <w:rPr>
          <w:rFonts w:asciiTheme="minorHAnsi" w:hAnsiTheme="minorHAnsi" w:cs="Arial"/>
          <w:b/>
          <w:bCs/>
          <w:iCs/>
          <w:sz w:val="20"/>
        </w:rPr>
        <w:t>dei Vini</w:t>
      </w:r>
    </w:p>
    <w:p w14:paraId="14C79BCD" w14:textId="5199BDE6" w:rsidR="001B204C" w:rsidRDefault="00F2508D" w:rsidP="00821C8A">
      <w:pPr>
        <w:spacing w:line="276" w:lineRule="auto"/>
        <w:rPr>
          <w:rFonts w:asciiTheme="minorHAnsi" w:hAnsiTheme="minorHAnsi" w:cstheme="minorHAnsi"/>
          <w:i/>
          <w:sz w:val="20"/>
        </w:rPr>
      </w:pPr>
      <w:r w:rsidRPr="00F2508D">
        <w:rPr>
          <w:noProof/>
        </w:rPr>
        <w:drawing>
          <wp:inline distT="0" distB="0" distL="0" distR="0" wp14:anchorId="230EE54A" wp14:editId="2F60E209">
            <wp:extent cx="5400000" cy="339306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393069"/>
                    </a:xfrm>
                    <a:prstGeom prst="rect">
                      <a:avLst/>
                    </a:prstGeom>
                    <a:noFill/>
                    <a:ln>
                      <a:noFill/>
                    </a:ln>
                  </pic:spPr>
                </pic:pic>
              </a:graphicData>
            </a:graphic>
          </wp:inline>
        </w:drawing>
      </w:r>
    </w:p>
    <w:p w14:paraId="4C25D7F2" w14:textId="0804595E" w:rsidR="00EC7DB1" w:rsidRPr="00821C8A" w:rsidRDefault="00EC7DB1" w:rsidP="008E3943">
      <w:pPr>
        <w:spacing w:line="276" w:lineRule="auto"/>
        <w:rPr>
          <w:rFonts w:asciiTheme="minorHAnsi" w:hAnsiTheme="minorHAnsi" w:cstheme="minorHAnsi"/>
          <w:i/>
          <w:sz w:val="18"/>
          <w:szCs w:val="18"/>
        </w:rPr>
      </w:pPr>
      <w:r w:rsidRPr="00821C8A">
        <w:rPr>
          <w:rFonts w:asciiTheme="minorHAnsi" w:hAnsiTheme="minorHAnsi" w:cstheme="minorHAnsi"/>
          <w:i/>
          <w:sz w:val="18"/>
          <w:szCs w:val="18"/>
        </w:rPr>
        <w:t>Fonte: elaborazione Unioncamere-BMTI e REF Ricerche su dati Camere di Commercio e Borse Merci</w:t>
      </w:r>
    </w:p>
    <w:p w14:paraId="566A2B12" w14:textId="77777777" w:rsidR="00821C8A" w:rsidRPr="00821C8A" w:rsidRDefault="00821C8A" w:rsidP="00821C8A">
      <w:pPr>
        <w:spacing w:line="276" w:lineRule="auto"/>
        <w:rPr>
          <w:rFonts w:asciiTheme="minorHAnsi" w:hAnsiTheme="minorHAnsi" w:cstheme="minorHAnsi"/>
          <w:i/>
          <w:sz w:val="18"/>
          <w:szCs w:val="18"/>
        </w:rPr>
      </w:pPr>
      <w:r w:rsidRPr="00821C8A">
        <w:rPr>
          <w:rFonts w:asciiTheme="minorHAnsi" w:hAnsiTheme="minorHAnsi" w:cstheme="minorHAnsi"/>
          <w:i/>
          <w:sz w:val="18"/>
          <w:szCs w:val="18"/>
        </w:rPr>
        <w:t xml:space="preserve">Nota metodologica su </w:t>
      </w:r>
      <w:r w:rsidRPr="00821C8A">
        <w:rPr>
          <w:rStyle w:val="Collegamentoipertestuale"/>
          <w:rFonts w:asciiTheme="minorHAnsi" w:hAnsiTheme="minorHAnsi" w:cstheme="minorHAnsi"/>
          <w:i/>
          <w:sz w:val="18"/>
          <w:szCs w:val="18"/>
        </w:rPr>
        <w:t>https://www.bmti.it/archivio-indice-prezzi-ingrosso</w:t>
      </w:r>
    </w:p>
    <w:p w14:paraId="29E52286" w14:textId="77777777" w:rsidR="00821C8A" w:rsidRDefault="00821C8A" w:rsidP="00EC7DB1">
      <w:pPr>
        <w:spacing w:before="120" w:line="276" w:lineRule="auto"/>
        <w:rPr>
          <w:rFonts w:asciiTheme="minorHAnsi" w:hAnsiTheme="minorHAnsi" w:cstheme="minorHAnsi"/>
          <w:i/>
          <w:sz w:val="20"/>
        </w:rPr>
      </w:pPr>
    </w:p>
    <w:p w14:paraId="3DC58DCC" w14:textId="77777777" w:rsidR="00821C8A" w:rsidRDefault="00821C8A">
      <w:pPr>
        <w:spacing w:after="160" w:line="259" w:lineRule="auto"/>
        <w:jc w:val="left"/>
        <w:rPr>
          <w:rFonts w:asciiTheme="minorHAnsi" w:hAnsiTheme="minorHAnsi" w:cstheme="minorHAnsi"/>
          <w:i/>
          <w:sz w:val="20"/>
        </w:rPr>
      </w:pPr>
      <w:r>
        <w:rPr>
          <w:rFonts w:asciiTheme="minorHAnsi" w:hAnsiTheme="minorHAnsi" w:cstheme="minorHAnsi"/>
          <w:i/>
          <w:sz w:val="20"/>
        </w:rPr>
        <w:br w:type="page"/>
      </w:r>
    </w:p>
    <w:p w14:paraId="2D5E3EE7" w14:textId="4619CB97" w:rsidR="0047261B" w:rsidRPr="00821C8A" w:rsidRDefault="00821C8A" w:rsidP="00821C8A">
      <w:pPr>
        <w:spacing w:line="276" w:lineRule="auto"/>
        <w:rPr>
          <w:rFonts w:asciiTheme="minorHAnsi" w:hAnsiTheme="minorHAnsi" w:cs="Arial"/>
          <w:b/>
          <w:bCs/>
          <w:iCs/>
          <w:sz w:val="20"/>
        </w:rPr>
      </w:pPr>
      <w:r w:rsidRPr="001B204C">
        <w:rPr>
          <w:rFonts w:asciiTheme="minorHAnsi" w:hAnsiTheme="minorHAnsi" w:cs="Arial"/>
          <w:b/>
          <w:bCs/>
          <w:iCs/>
          <w:sz w:val="20"/>
        </w:rPr>
        <w:lastRenderedPageBreak/>
        <w:t xml:space="preserve">Tabella </w:t>
      </w:r>
      <w:r>
        <w:rPr>
          <w:rFonts w:asciiTheme="minorHAnsi" w:hAnsiTheme="minorHAnsi" w:cs="Arial"/>
          <w:b/>
          <w:bCs/>
          <w:iCs/>
          <w:sz w:val="20"/>
        </w:rPr>
        <w:t>3</w:t>
      </w:r>
      <w:r w:rsidRPr="001B204C">
        <w:rPr>
          <w:rFonts w:asciiTheme="minorHAnsi" w:hAnsiTheme="minorHAnsi" w:cs="Arial"/>
          <w:b/>
          <w:bCs/>
          <w:iCs/>
          <w:sz w:val="20"/>
        </w:rPr>
        <w:t xml:space="preserve">: Indice dei prezzi ufficiali all’ingrosso </w:t>
      </w:r>
      <w:r>
        <w:rPr>
          <w:rFonts w:asciiTheme="minorHAnsi" w:hAnsiTheme="minorHAnsi" w:cs="Arial"/>
          <w:b/>
          <w:bCs/>
          <w:iCs/>
          <w:sz w:val="20"/>
        </w:rPr>
        <w:t>di Frutta e Ortaggi*</w:t>
      </w:r>
    </w:p>
    <w:p w14:paraId="6880C862" w14:textId="11DBEF44" w:rsidR="000D0BB7" w:rsidRDefault="00E27BC2" w:rsidP="00821C8A">
      <w:pPr>
        <w:spacing w:line="276" w:lineRule="auto"/>
        <w:rPr>
          <w:rFonts w:asciiTheme="minorHAnsi" w:hAnsiTheme="minorHAnsi" w:cstheme="minorHAnsi"/>
          <w:i/>
          <w:sz w:val="18"/>
          <w:szCs w:val="18"/>
        </w:rPr>
      </w:pPr>
      <w:r w:rsidRPr="00E27BC2">
        <w:drawing>
          <wp:inline distT="0" distB="0" distL="0" distR="0" wp14:anchorId="6A4B95D6" wp14:editId="19EAAF8F">
            <wp:extent cx="5400000" cy="660012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6600121"/>
                    </a:xfrm>
                    <a:prstGeom prst="rect">
                      <a:avLst/>
                    </a:prstGeom>
                    <a:noFill/>
                    <a:ln>
                      <a:noFill/>
                    </a:ln>
                  </pic:spPr>
                </pic:pic>
              </a:graphicData>
            </a:graphic>
          </wp:inline>
        </w:drawing>
      </w:r>
      <w:r w:rsidR="00C757A6">
        <w:rPr>
          <w:rFonts w:asciiTheme="minorHAnsi" w:hAnsiTheme="minorHAnsi" w:cstheme="minorHAnsi"/>
          <w:i/>
          <w:sz w:val="20"/>
        </w:rPr>
        <w:br w:type="textWrapping" w:clear="all"/>
      </w:r>
      <w:r w:rsidR="0047261B" w:rsidRPr="00821C8A">
        <w:rPr>
          <w:rFonts w:asciiTheme="minorHAnsi" w:hAnsiTheme="minorHAnsi" w:cstheme="minorHAnsi"/>
          <w:i/>
          <w:sz w:val="18"/>
          <w:szCs w:val="18"/>
        </w:rPr>
        <w:t xml:space="preserve">Fonte: elaborazione </w:t>
      </w:r>
      <w:proofErr w:type="spellStart"/>
      <w:r w:rsidR="0047261B" w:rsidRPr="00821C8A">
        <w:rPr>
          <w:rFonts w:asciiTheme="minorHAnsi" w:hAnsiTheme="minorHAnsi" w:cstheme="minorHAnsi"/>
          <w:i/>
          <w:sz w:val="18"/>
          <w:szCs w:val="18"/>
        </w:rPr>
        <w:t>Italmercati</w:t>
      </w:r>
      <w:proofErr w:type="spellEnd"/>
      <w:r w:rsidR="00821C8A" w:rsidRPr="00821C8A">
        <w:rPr>
          <w:rFonts w:asciiTheme="minorHAnsi" w:hAnsiTheme="minorHAnsi" w:cstheme="minorHAnsi"/>
          <w:i/>
          <w:sz w:val="18"/>
          <w:szCs w:val="18"/>
        </w:rPr>
        <w:t xml:space="preserve">, </w:t>
      </w:r>
      <w:r w:rsidR="0047261B" w:rsidRPr="00821C8A">
        <w:rPr>
          <w:rFonts w:asciiTheme="minorHAnsi" w:hAnsiTheme="minorHAnsi" w:cstheme="minorHAnsi"/>
          <w:i/>
          <w:sz w:val="18"/>
          <w:szCs w:val="18"/>
        </w:rPr>
        <w:t xml:space="preserve">BMTI </w:t>
      </w:r>
      <w:r w:rsidR="00EC7DB1" w:rsidRPr="00821C8A">
        <w:rPr>
          <w:rFonts w:asciiTheme="minorHAnsi" w:hAnsiTheme="minorHAnsi" w:cstheme="minorHAnsi"/>
          <w:i/>
          <w:sz w:val="18"/>
          <w:szCs w:val="18"/>
        </w:rPr>
        <w:t xml:space="preserve">e REF Ricerche </w:t>
      </w:r>
      <w:r w:rsidR="0047261B" w:rsidRPr="00821C8A">
        <w:rPr>
          <w:rFonts w:asciiTheme="minorHAnsi" w:hAnsiTheme="minorHAnsi" w:cstheme="minorHAnsi"/>
          <w:i/>
          <w:sz w:val="18"/>
          <w:szCs w:val="18"/>
        </w:rPr>
        <w:t>su dati MISE-Unioncamere</w:t>
      </w:r>
      <w:r w:rsidR="00865319">
        <w:rPr>
          <w:rFonts w:asciiTheme="minorHAnsi" w:hAnsiTheme="minorHAnsi" w:cstheme="minorHAnsi"/>
          <w:i/>
          <w:sz w:val="18"/>
          <w:szCs w:val="18"/>
        </w:rPr>
        <w:t xml:space="preserve">. </w:t>
      </w:r>
      <w:r w:rsidR="000D0BB7" w:rsidRPr="000D0BB7">
        <w:rPr>
          <w:rFonts w:asciiTheme="minorHAnsi" w:hAnsiTheme="minorHAnsi" w:cstheme="minorHAnsi"/>
          <w:i/>
          <w:sz w:val="18"/>
          <w:szCs w:val="18"/>
        </w:rPr>
        <w:t xml:space="preserve">*Il valore delle variazioni congiunturali e tendenziali a livello dei singoli gruppi sono calcolate con solo riferimento ai prodotti presenti nella tabella ed escludendo i prodotti non in stagione. </w:t>
      </w:r>
    </w:p>
    <w:p w14:paraId="675D3D73" w14:textId="675BB064" w:rsidR="00BF56B8" w:rsidRDefault="00677A93" w:rsidP="0031400C">
      <w:pPr>
        <w:spacing w:line="276" w:lineRule="auto"/>
        <w:rPr>
          <w:rFonts w:asciiTheme="minorHAnsi" w:hAnsiTheme="minorHAnsi" w:cstheme="minorHAnsi"/>
          <w:iCs/>
          <w:sz w:val="18"/>
          <w:szCs w:val="18"/>
        </w:rPr>
      </w:pPr>
      <w:r w:rsidRPr="00821C8A">
        <w:rPr>
          <w:rFonts w:asciiTheme="minorHAnsi" w:hAnsiTheme="minorHAnsi" w:cstheme="minorHAnsi"/>
          <w:iCs/>
          <w:sz w:val="18"/>
          <w:szCs w:val="18"/>
        </w:rPr>
        <w:t xml:space="preserve">Nota metodologica su </w:t>
      </w:r>
      <w:r w:rsidRPr="00821C8A">
        <w:rPr>
          <w:rStyle w:val="Collegamentoipertestuale"/>
          <w:rFonts w:asciiTheme="minorHAnsi" w:hAnsiTheme="minorHAnsi" w:cstheme="minorHAnsi"/>
          <w:iCs/>
          <w:sz w:val="18"/>
          <w:szCs w:val="18"/>
        </w:rPr>
        <w:t>https://www.bmti.it/archivio-indice-prezzi-ingrosso</w:t>
      </w:r>
      <w:r w:rsidR="006B1DF9" w:rsidRPr="00821C8A">
        <w:rPr>
          <w:rStyle w:val="Collegamentoipertestuale"/>
          <w:rFonts w:asciiTheme="minorHAnsi" w:hAnsiTheme="minorHAnsi" w:cstheme="minorHAnsi"/>
          <w:iCs/>
          <w:sz w:val="18"/>
          <w:szCs w:val="18"/>
        </w:rPr>
        <w:t xml:space="preserve"> </w:t>
      </w:r>
      <w:r w:rsidR="00FB36E5" w:rsidRPr="00821C8A">
        <w:rPr>
          <w:rFonts w:asciiTheme="minorHAnsi" w:hAnsiTheme="minorHAnsi" w:cstheme="minorHAnsi"/>
          <w:iCs/>
          <w:sz w:val="18"/>
          <w:szCs w:val="18"/>
        </w:rPr>
        <w:tab/>
      </w:r>
      <w:bookmarkEnd w:id="13"/>
      <w:r w:rsidR="00BF56B8">
        <w:rPr>
          <w:rFonts w:asciiTheme="minorHAnsi" w:hAnsiTheme="minorHAnsi" w:cstheme="minorHAnsi"/>
          <w:iCs/>
          <w:sz w:val="18"/>
          <w:szCs w:val="18"/>
        </w:rPr>
        <w:br w:type="page"/>
      </w:r>
    </w:p>
    <w:p w14:paraId="5173CC87" w14:textId="0FB5ADB1" w:rsidR="00BF56B8" w:rsidRPr="00821C8A" w:rsidRDefault="00BF56B8" w:rsidP="00BF56B8">
      <w:pPr>
        <w:spacing w:line="276" w:lineRule="auto"/>
        <w:rPr>
          <w:rFonts w:asciiTheme="minorHAnsi" w:hAnsiTheme="minorHAnsi" w:cs="Arial"/>
          <w:b/>
          <w:bCs/>
          <w:iCs/>
          <w:sz w:val="20"/>
        </w:rPr>
      </w:pPr>
      <w:r w:rsidRPr="001B204C">
        <w:rPr>
          <w:rFonts w:asciiTheme="minorHAnsi" w:hAnsiTheme="minorHAnsi" w:cs="Arial"/>
          <w:b/>
          <w:bCs/>
          <w:iCs/>
          <w:sz w:val="20"/>
        </w:rPr>
        <w:lastRenderedPageBreak/>
        <w:t xml:space="preserve">Tabella </w:t>
      </w:r>
      <w:r>
        <w:rPr>
          <w:rFonts w:asciiTheme="minorHAnsi" w:hAnsiTheme="minorHAnsi" w:cs="Arial"/>
          <w:b/>
          <w:bCs/>
          <w:iCs/>
          <w:sz w:val="20"/>
        </w:rPr>
        <w:t>4</w:t>
      </w:r>
      <w:r w:rsidRPr="001B204C">
        <w:rPr>
          <w:rFonts w:asciiTheme="minorHAnsi" w:hAnsiTheme="minorHAnsi" w:cs="Arial"/>
          <w:b/>
          <w:bCs/>
          <w:iCs/>
          <w:sz w:val="20"/>
        </w:rPr>
        <w:t xml:space="preserve">: Indice dei prezzi ufficiali all’ingrosso </w:t>
      </w:r>
      <w:r>
        <w:rPr>
          <w:rFonts w:asciiTheme="minorHAnsi" w:hAnsiTheme="minorHAnsi" w:cs="Arial"/>
          <w:b/>
          <w:bCs/>
          <w:iCs/>
          <w:sz w:val="20"/>
        </w:rPr>
        <w:t xml:space="preserve">dei </w:t>
      </w:r>
      <w:r w:rsidR="0031400C">
        <w:rPr>
          <w:rFonts w:asciiTheme="minorHAnsi" w:hAnsiTheme="minorHAnsi" w:cs="Arial"/>
          <w:b/>
          <w:bCs/>
          <w:iCs/>
          <w:sz w:val="20"/>
        </w:rPr>
        <w:t>prodotti ittici</w:t>
      </w:r>
    </w:p>
    <w:p w14:paraId="04A5F2A8" w14:textId="3B504BF6" w:rsidR="00BF56B8" w:rsidRDefault="00E27BC2" w:rsidP="00821C8A">
      <w:pPr>
        <w:spacing w:line="276" w:lineRule="auto"/>
        <w:rPr>
          <w:rFonts w:asciiTheme="minorHAnsi" w:hAnsiTheme="minorHAnsi" w:cstheme="minorHAnsi"/>
          <w:iCs/>
          <w:sz w:val="18"/>
          <w:szCs w:val="18"/>
        </w:rPr>
      </w:pPr>
      <w:r w:rsidRPr="00E27BC2">
        <w:drawing>
          <wp:inline distT="0" distB="0" distL="0" distR="0" wp14:anchorId="5BD6DE14" wp14:editId="62021179">
            <wp:extent cx="5760000" cy="664868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6648685"/>
                    </a:xfrm>
                    <a:prstGeom prst="rect">
                      <a:avLst/>
                    </a:prstGeom>
                    <a:noFill/>
                    <a:ln>
                      <a:noFill/>
                    </a:ln>
                  </pic:spPr>
                </pic:pic>
              </a:graphicData>
            </a:graphic>
          </wp:inline>
        </w:drawing>
      </w:r>
    </w:p>
    <w:p w14:paraId="276C8313" w14:textId="5E2E5504" w:rsidR="0031400C" w:rsidRPr="00821C8A" w:rsidRDefault="0031400C" w:rsidP="00821C8A">
      <w:pPr>
        <w:spacing w:line="276" w:lineRule="auto"/>
        <w:rPr>
          <w:rFonts w:asciiTheme="minorHAnsi" w:hAnsiTheme="minorHAnsi" w:cstheme="minorHAnsi"/>
          <w:iCs/>
          <w:sz w:val="18"/>
          <w:szCs w:val="18"/>
        </w:rPr>
      </w:pPr>
      <w:r w:rsidRPr="00821C8A">
        <w:rPr>
          <w:rFonts w:asciiTheme="minorHAnsi" w:hAnsiTheme="minorHAnsi" w:cstheme="minorHAnsi"/>
          <w:i/>
          <w:sz w:val="18"/>
          <w:szCs w:val="18"/>
        </w:rPr>
        <w:t>Fonte: elaborazione BMTI e REF Ricerche su dati MISE-Unioncamere</w:t>
      </w:r>
    </w:p>
    <w:sectPr w:rsidR="0031400C" w:rsidRPr="00821C8A" w:rsidSect="00117EEA">
      <w:headerReference w:type="default" r:id="rId11"/>
      <w:footerReference w:type="default" r:id="rId12"/>
      <w:pgSz w:w="11906" w:h="16838"/>
      <w:pgMar w:top="3544" w:right="1134" w:bottom="709" w:left="1134" w:header="705"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D4C13" w14:textId="77777777" w:rsidR="000D4F2E" w:rsidRDefault="000D4F2E" w:rsidP="00772B7F">
      <w:r>
        <w:separator/>
      </w:r>
    </w:p>
  </w:endnote>
  <w:endnote w:type="continuationSeparator" w:id="0">
    <w:p w14:paraId="23C86784" w14:textId="77777777" w:rsidR="000D4F2E" w:rsidRDefault="000D4F2E" w:rsidP="00772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608A" w14:textId="536219EC" w:rsidR="006021FF" w:rsidRPr="000B5696" w:rsidRDefault="006021FF" w:rsidP="000B5696">
    <w:pPr>
      <w:pStyle w:val="Pidipagina"/>
      <w:pBdr>
        <w:top w:val="single" w:sz="4" w:space="1" w:color="auto"/>
      </w:pBdr>
      <w:rPr>
        <w:rFonts w:asciiTheme="minorHAnsi" w:hAnsiTheme="minorHAnsi" w:cstheme="minorHAnsi"/>
        <w:sz w:val="20"/>
      </w:rPr>
    </w:pPr>
    <w:r w:rsidRPr="000B5696">
      <w:rPr>
        <w:rFonts w:asciiTheme="minorHAnsi" w:hAnsiTheme="minorHAnsi" w:cstheme="minorHAnsi"/>
        <w:sz w:val="20"/>
      </w:rPr>
      <w:t xml:space="preserve">Per maggiori informazioni: </w:t>
    </w:r>
  </w:p>
  <w:p w14:paraId="6C9EA872" w14:textId="7084584F" w:rsidR="000B5696" w:rsidRDefault="008F4E58" w:rsidP="000B5696">
    <w:pPr>
      <w:pStyle w:val="Pidipagina"/>
      <w:pBdr>
        <w:top w:val="single" w:sz="4" w:space="1" w:color="auto"/>
      </w:pBdr>
      <w:rPr>
        <w:rFonts w:asciiTheme="minorHAnsi" w:hAnsiTheme="minorHAnsi" w:cstheme="minorHAnsi"/>
        <w:sz w:val="20"/>
      </w:rPr>
    </w:pPr>
    <w:r>
      <w:rPr>
        <w:rFonts w:asciiTheme="minorHAnsi" w:hAnsiTheme="minorHAnsi" w:cstheme="minorHAnsi"/>
        <w:b/>
        <w:bCs/>
        <w:sz w:val="20"/>
      </w:rPr>
      <w:t xml:space="preserve">U.O. </w:t>
    </w:r>
    <w:r w:rsidRPr="008F4E58">
      <w:rPr>
        <w:rFonts w:asciiTheme="minorHAnsi" w:hAnsiTheme="minorHAnsi" w:cstheme="minorHAnsi"/>
        <w:b/>
        <w:bCs/>
        <w:sz w:val="20"/>
      </w:rPr>
      <w:t>PREZZI, STUDI E INFORMATION TECHNOLOGY</w:t>
    </w:r>
    <w:r>
      <w:rPr>
        <w:rFonts w:asciiTheme="minorHAnsi" w:hAnsiTheme="minorHAnsi" w:cstheme="minorHAnsi"/>
        <w:b/>
        <w:bCs/>
        <w:sz w:val="20"/>
      </w:rPr>
      <w:t xml:space="preserve"> </w:t>
    </w:r>
    <w:r w:rsidR="000B5696">
      <w:rPr>
        <w:rFonts w:asciiTheme="minorHAnsi" w:hAnsiTheme="minorHAnsi" w:cstheme="minorHAnsi"/>
        <w:b/>
        <w:bCs/>
        <w:sz w:val="20"/>
      </w:rPr>
      <w:t>-</w:t>
    </w:r>
    <w:r w:rsidR="006021FF" w:rsidRPr="000B5696">
      <w:rPr>
        <w:rFonts w:asciiTheme="minorHAnsi" w:hAnsiTheme="minorHAnsi" w:cstheme="minorHAnsi"/>
        <w:sz w:val="20"/>
      </w:rPr>
      <w:t xml:space="preserve"> </w:t>
    </w:r>
    <w:r w:rsidR="000B5696" w:rsidRPr="000B5696">
      <w:rPr>
        <w:rFonts w:asciiTheme="minorHAnsi" w:hAnsiTheme="minorHAnsi" w:cstheme="minorHAnsi"/>
        <w:sz w:val="20"/>
      </w:rPr>
      <w:t xml:space="preserve">Tel: </w:t>
    </w:r>
    <w:r w:rsidR="006021FF" w:rsidRPr="000B5696">
      <w:rPr>
        <w:rFonts w:asciiTheme="minorHAnsi" w:hAnsiTheme="minorHAnsi" w:cstheme="minorHAnsi"/>
        <w:sz w:val="20"/>
      </w:rPr>
      <w:t xml:space="preserve">06/44252922 int.7 </w:t>
    </w:r>
    <w:r w:rsidR="000B5696">
      <w:rPr>
        <w:rFonts w:asciiTheme="minorHAnsi" w:hAnsiTheme="minorHAnsi" w:cstheme="minorHAnsi"/>
        <w:sz w:val="20"/>
      </w:rPr>
      <w:t>-</w:t>
    </w:r>
    <w:r w:rsidR="006021FF" w:rsidRPr="000B5696">
      <w:rPr>
        <w:rFonts w:asciiTheme="minorHAnsi" w:hAnsiTheme="minorHAnsi" w:cstheme="minorHAnsi"/>
        <w:sz w:val="20"/>
      </w:rPr>
      <w:t xml:space="preserve"> </w:t>
    </w:r>
    <w:r w:rsidR="000B5696" w:rsidRPr="000B5696">
      <w:rPr>
        <w:rFonts w:asciiTheme="minorHAnsi" w:hAnsiTheme="minorHAnsi" w:cstheme="minorHAnsi"/>
        <w:sz w:val="20"/>
      </w:rPr>
      <w:t xml:space="preserve">Mail: </w:t>
    </w:r>
    <w:hyperlink r:id="rId1" w:history="1">
      <w:r w:rsidR="000B5696" w:rsidRPr="000B5696">
        <w:rPr>
          <w:rStyle w:val="Collegamentoipertestuale"/>
          <w:rFonts w:asciiTheme="minorHAnsi" w:hAnsiTheme="minorHAnsi" w:cstheme="minorHAnsi"/>
          <w:color w:val="auto"/>
          <w:sz w:val="20"/>
        </w:rPr>
        <w:t>ufficiostudi@bmti.it</w:t>
      </w:r>
    </w:hyperlink>
    <w:r w:rsidR="006021FF" w:rsidRPr="000B5696">
      <w:rPr>
        <w:rFonts w:asciiTheme="minorHAnsi" w:hAnsiTheme="minorHAnsi" w:cstheme="minorHAnsi"/>
        <w:sz w:val="20"/>
      </w:rPr>
      <w:t xml:space="preserve"> </w:t>
    </w:r>
    <w:r w:rsidR="000B5696" w:rsidRPr="000B5696">
      <w:rPr>
        <w:rFonts w:asciiTheme="minorHAnsi" w:hAnsiTheme="minorHAnsi" w:cstheme="minorHAnsi"/>
        <w:sz w:val="20"/>
      </w:rPr>
      <w:t xml:space="preserve">- </w:t>
    </w:r>
    <w:hyperlink r:id="rId2" w:history="1">
      <w:r w:rsidR="000B5696" w:rsidRPr="000B5696">
        <w:rPr>
          <w:rStyle w:val="Collegamentoipertestuale"/>
          <w:rFonts w:asciiTheme="minorHAnsi" w:hAnsiTheme="minorHAnsi" w:cstheme="minorHAnsi"/>
          <w:color w:val="auto"/>
          <w:sz w:val="20"/>
        </w:rPr>
        <w:t>www.bmti.it/archivio-indice-prezzi-ingrosso/</w:t>
      </w:r>
    </w:hyperlink>
    <w:r w:rsidR="000B5696" w:rsidRPr="000B5696">
      <w:rPr>
        <w:rFonts w:asciiTheme="minorHAnsi" w:hAnsiTheme="minorHAnsi" w:cstheme="minorHAnsi"/>
        <w:sz w:val="20"/>
      </w:rPr>
      <w:t xml:space="preserve"> </w:t>
    </w:r>
  </w:p>
  <w:p w14:paraId="4E23FE27" w14:textId="42B31E50" w:rsidR="006021FF" w:rsidRPr="000B5696" w:rsidRDefault="006021FF" w:rsidP="000B5696">
    <w:pPr>
      <w:pStyle w:val="Pidipagina"/>
      <w:pBdr>
        <w:top w:val="single" w:sz="4" w:space="1" w:color="auto"/>
      </w:pBdr>
      <w:rPr>
        <w:rFonts w:asciiTheme="minorHAnsi" w:hAnsiTheme="minorHAnsi" w:cstheme="minorHAnsi"/>
        <w:szCs w:val="24"/>
      </w:rPr>
    </w:pPr>
    <w:r w:rsidRPr="000B5696">
      <w:rPr>
        <w:rFonts w:asciiTheme="minorHAnsi" w:hAnsiTheme="minorHAnsi" w:cstheme="minorHAnsi"/>
        <w:szCs w:val="24"/>
      </w:rPr>
      <w:ptab w:relativeTo="margin" w:alignment="right" w:leader="none"/>
    </w:r>
    <w:r w:rsidRPr="000B5696">
      <w:rPr>
        <w:rFonts w:asciiTheme="minorHAnsi" w:hAnsiTheme="minorHAnsi" w:cstheme="minorHAnsi"/>
        <w:szCs w:val="24"/>
      </w:rPr>
      <w:t xml:space="preserve"> </w:t>
    </w:r>
    <w:r w:rsidRPr="000B5696">
      <w:rPr>
        <w:rFonts w:asciiTheme="minorHAnsi" w:hAnsiTheme="minorHAnsi" w:cstheme="minorHAnsi"/>
        <w:b/>
        <w:color w:val="5B9BD5" w:themeColor="accent1"/>
        <w:szCs w:val="24"/>
      </w:rPr>
      <w:fldChar w:fldCharType="begin"/>
    </w:r>
    <w:r w:rsidRPr="000B5696">
      <w:rPr>
        <w:rFonts w:asciiTheme="minorHAnsi" w:hAnsiTheme="minorHAnsi" w:cstheme="minorHAnsi"/>
        <w:b/>
        <w:color w:val="5B9BD5" w:themeColor="accent1"/>
        <w:szCs w:val="24"/>
      </w:rPr>
      <w:instrText xml:space="preserve"> PAGE   \* MERGEFORMAT </w:instrText>
    </w:r>
    <w:r w:rsidRPr="000B5696">
      <w:rPr>
        <w:rFonts w:asciiTheme="minorHAnsi" w:hAnsiTheme="minorHAnsi" w:cstheme="minorHAnsi"/>
        <w:b/>
        <w:color w:val="5B9BD5" w:themeColor="accent1"/>
        <w:szCs w:val="24"/>
      </w:rPr>
      <w:fldChar w:fldCharType="separate"/>
    </w:r>
    <w:r w:rsidR="00792212">
      <w:rPr>
        <w:rFonts w:asciiTheme="minorHAnsi" w:hAnsiTheme="minorHAnsi" w:cstheme="minorHAnsi"/>
        <w:b/>
        <w:noProof/>
        <w:color w:val="5B9BD5" w:themeColor="accent1"/>
        <w:szCs w:val="24"/>
      </w:rPr>
      <w:t>6</w:t>
    </w:r>
    <w:r w:rsidRPr="000B5696">
      <w:rPr>
        <w:rFonts w:asciiTheme="minorHAnsi" w:hAnsiTheme="minorHAnsi" w:cstheme="minorHAnsi"/>
        <w:b/>
        <w:noProof/>
        <w:color w:val="5B9BD5" w:themeColor="accent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EEBA4" w14:textId="77777777" w:rsidR="000D4F2E" w:rsidRDefault="000D4F2E" w:rsidP="00772B7F">
      <w:r>
        <w:separator/>
      </w:r>
    </w:p>
  </w:footnote>
  <w:footnote w:type="continuationSeparator" w:id="0">
    <w:p w14:paraId="3F41BB84" w14:textId="77777777" w:rsidR="000D4F2E" w:rsidRDefault="000D4F2E" w:rsidP="00772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51EB" w14:textId="77777777" w:rsidR="006021FF" w:rsidRPr="00DE3773" w:rsidRDefault="006021FF" w:rsidP="00796EE8">
    <w:pPr>
      <w:pStyle w:val="Intestazione"/>
      <w:ind w:left="-567"/>
      <w:jc w:val="left"/>
      <w:rPr>
        <w:rFonts w:ascii="Century Gothic" w:hAnsi="Century Gothic"/>
        <w:b/>
        <w:noProof/>
        <w:color w:val="FFFFFF" w:themeColor="background1"/>
        <w:sz w:val="46"/>
        <w:szCs w:val="46"/>
      </w:rPr>
    </w:pPr>
    <w:r w:rsidRPr="00DE3773">
      <w:rPr>
        <w:rFonts w:ascii="Century Gothic" w:hAnsi="Century Gothic"/>
        <w:b/>
        <w:noProof/>
        <w:color w:val="FFFFFF" w:themeColor="background1"/>
        <w:sz w:val="46"/>
        <w:szCs w:val="46"/>
      </w:rPr>
      <w:drawing>
        <wp:anchor distT="0" distB="0" distL="114300" distR="114300" simplePos="0" relativeHeight="251658239" behindDoc="1" locked="0" layoutInCell="1" allowOverlap="1" wp14:anchorId="0A5430F9" wp14:editId="3E1E0F6C">
          <wp:simplePos x="0" y="0"/>
          <wp:positionH relativeFrom="page">
            <wp:align>left</wp:align>
          </wp:positionH>
          <wp:positionV relativeFrom="paragraph">
            <wp:posOffset>-447675</wp:posOffset>
          </wp:positionV>
          <wp:extent cx="7567784" cy="3750326"/>
          <wp:effectExtent l="0" t="0" r="0" b="2540"/>
          <wp:wrapNone/>
          <wp:docPr id="1061" name="Immagin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magine 106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784" cy="3750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3773">
      <w:rPr>
        <w:rFonts w:ascii="Century Gothic" w:hAnsi="Century Gothic"/>
        <w:b/>
        <w:noProof/>
        <w:color w:val="FFFFFF" w:themeColor="background1"/>
        <w:sz w:val="46"/>
        <w:szCs w:val="46"/>
      </w:rPr>
      <w:t>Indice dei prezzi</w:t>
    </w:r>
  </w:p>
  <w:p w14:paraId="6F8D7D9C" w14:textId="77777777" w:rsidR="006021FF" w:rsidRPr="00DE3773" w:rsidRDefault="006021FF" w:rsidP="00796EE8">
    <w:pPr>
      <w:pStyle w:val="Intestazione"/>
      <w:spacing w:line="276" w:lineRule="auto"/>
      <w:ind w:left="-567"/>
      <w:jc w:val="left"/>
      <w:rPr>
        <w:rFonts w:ascii="Century Gothic" w:hAnsi="Century Gothic"/>
        <w:b/>
        <w:noProof/>
        <w:color w:val="FFFFFF" w:themeColor="background1"/>
        <w:sz w:val="46"/>
        <w:szCs w:val="46"/>
      </w:rPr>
    </w:pPr>
    <w:r w:rsidRPr="00DE3773">
      <w:rPr>
        <w:rFonts w:ascii="Century Gothic" w:hAnsi="Century Gothic"/>
        <w:b/>
        <w:noProof/>
        <w:color w:val="FFFFFF" w:themeColor="background1"/>
        <w:sz w:val="46"/>
        <w:szCs w:val="46"/>
      </w:rPr>
      <w:t>all’ingrosso</w:t>
    </w:r>
  </w:p>
  <w:p w14:paraId="2218B053" w14:textId="5FDAC174" w:rsidR="006021FF" w:rsidRPr="000D0BB7" w:rsidRDefault="00616F23" w:rsidP="00796EE8">
    <w:pPr>
      <w:pStyle w:val="Intestazione"/>
      <w:ind w:left="-567"/>
      <w:jc w:val="left"/>
      <w:rPr>
        <w:rFonts w:ascii="Century Gothic" w:hAnsi="Century Gothic"/>
        <w:b/>
        <w:color w:val="FFFFFF" w:themeColor="background1"/>
        <w:sz w:val="26"/>
        <w:szCs w:val="26"/>
      </w:rPr>
    </w:pPr>
    <w:r>
      <w:rPr>
        <w:rFonts w:ascii="Century Gothic" w:hAnsi="Century Gothic"/>
        <w:b/>
        <w:color w:val="FFFFFF" w:themeColor="background1"/>
        <w:sz w:val="26"/>
        <w:szCs w:val="26"/>
      </w:rPr>
      <w:t>Novembre</w:t>
    </w:r>
    <w:r w:rsidR="00887A59">
      <w:rPr>
        <w:rFonts w:ascii="Century Gothic" w:hAnsi="Century Gothic"/>
        <w:b/>
        <w:color w:val="FFFFFF" w:themeColor="background1"/>
        <w:sz w:val="26"/>
        <w:szCs w:val="26"/>
      </w:rPr>
      <w:t xml:space="preserve">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B7F"/>
    <w:rsid w:val="000022A2"/>
    <w:rsid w:val="00007E9D"/>
    <w:rsid w:val="00012209"/>
    <w:rsid w:val="000168DA"/>
    <w:rsid w:val="000245E4"/>
    <w:rsid w:val="00027A5B"/>
    <w:rsid w:val="00030A6F"/>
    <w:rsid w:val="00030D79"/>
    <w:rsid w:val="000320F3"/>
    <w:rsid w:val="0003238B"/>
    <w:rsid w:val="000348C1"/>
    <w:rsid w:val="00034E80"/>
    <w:rsid w:val="00035B2E"/>
    <w:rsid w:val="00036057"/>
    <w:rsid w:val="00040E0A"/>
    <w:rsid w:val="0004453F"/>
    <w:rsid w:val="000471FD"/>
    <w:rsid w:val="00055FFE"/>
    <w:rsid w:val="00060B43"/>
    <w:rsid w:val="00071429"/>
    <w:rsid w:val="00073452"/>
    <w:rsid w:val="00074518"/>
    <w:rsid w:val="00076772"/>
    <w:rsid w:val="0009314D"/>
    <w:rsid w:val="000951D8"/>
    <w:rsid w:val="000975AB"/>
    <w:rsid w:val="000A1501"/>
    <w:rsid w:val="000A498A"/>
    <w:rsid w:val="000A6139"/>
    <w:rsid w:val="000B5696"/>
    <w:rsid w:val="000B5B61"/>
    <w:rsid w:val="000B6870"/>
    <w:rsid w:val="000C01E3"/>
    <w:rsid w:val="000D0BB7"/>
    <w:rsid w:val="000D0D40"/>
    <w:rsid w:val="000D0EF1"/>
    <w:rsid w:val="000D1076"/>
    <w:rsid w:val="000D4F2E"/>
    <w:rsid w:val="000E0764"/>
    <w:rsid w:val="000E43FF"/>
    <w:rsid w:val="000E4703"/>
    <w:rsid w:val="000F268A"/>
    <w:rsid w:val="000F3D0F"/>
    <w:rsid w:val="001016CF"/>
    <w:rsid w:val="001101CC"/>
    <w:rsid w:val="001129CF"/>
    <w:rsid w:val="00117EEA"/>
    <w:rsid w:val="00127FD9"/>
    <w:rsid w:val="00133605"/>
    <w:rsid w:val="00135EE8"/>
    <w:rsid w:val="001441D7"/>
    <w:rsid w:val="00145DB5"/>
    <w:rsid w:val="00146648"/>
    <w:rsid w:val="0015181C"/>
    <w:rsid w:val="00152104"/>
    <w:rsid w:val="0015415E"/>
    <w:rsid w:val="001571B2"/>
    <w:rsid w:val="001578E0"/>
    <w:rsid w:val="00163B82"/>
    <w:rsid w:val="001668A3"/>
    <w:rsid w:val="00166958"/>
    <w:rsid w:val="00167511"/>
    <w:rsid w:val="001722EB"/>
    <w:rsid w:val="001737D2"/>
    <w:rsid w:val="00176550"/>
    <w:rsid w:val="00177193"/>
    <w:rsid w:val="00177260"/>
    <w:rsid w:val="0018145B"/>
    <w:rsid w:val="00184082"/>
    <w:rsid w:val="00184FED"/>
    <w:rsid w:val="0018644E"/>
    <w:rsid w:val="00187736"/>
    <w:rsid w:val="00193976"/>
    <w:rsid w:val="00195878"/>
    <w:rsid w:val="001971AB"/>
    <w:rsid w:val="00197941"/>
    <w:rsid w:val="001A02FE"/>
    <w:rsid w:val="001A079A"/>
    <w:rsid w:val="001A4489"/>
    <w:rsid w:val="001A7D92"/>
    <w:rsid w:val="001B0C0E"/>
    <w:rsid w:val="001B204C"/>
    <w:rsid w:val="001B3375"/>
    <w:rsid w:val="001B4E33"/>
    <w:rsid w:val="001B4F68"/>
    <w:rsid w:val="001B65BF"/>
    <w:rsid w:val="001C1F41"/>
    <w:rsid w:val="001C5BB4"/>
    <w:rsid w:val="001D2218"/>
    <w:rsid w:val="001D6451"/>
    <w:rsid w:val="001D75DB"/>
    <w:rsid w:val="001D7CBB"/>
    <w:rsid w:val="001E3550"/>
    <w:rsid w:val="001E3DE8"/>
    <w:rsid w:val="001E615D"/>
    <w:rsid w:val="001E7334"/>
    <w:rsid w:val="001F1312"/>
    <w:rsid w:val="001F3CAE"/>
    <w:rsid w:val="001F5C75"/>
    <w:rsid w:val="002007D4"/>
    <w:rsid w:val="00202D9C"/>
    <w:rsid w:val="002038EC"/>
    <w:rsid w:val="00211292"/>
    <w:rsid w:val="0021339E"/>
    <w:rsid w:val="0021614C"/>
    <w:rsid w:val="002224BD"/>
    <w:rsid w:val="002344DB"/>
    <w:rsid w:val="002429C4"/>
    <w:rsid w:val="00246167"/>
    <w:rsid w:val="0024686B"/>
    <w:rsid w:val="00247A5B"/>
    <w:rsid w:val="00252279"/>
    <w:rsid w:val="002572C4"/>
    <w:rsid w:val="00261343"/>
    <w:rsid w:val="0026140F"/>
    <w:rsid w:val="00261CC3"/>
    <w:rsid w:val="00262E72"/>
    <w:rsid w:val="00280F84"/>
    <w:rsid w:val="00281EA0"/>
    <w:rsid w:val="00287C89"/>
    <w:rsid w:val="002943B9"/>
    <w:rsid w:val="002958C4"/>
    <w:rsid w:val="0029652F"/>
    <w:rsid w:val="00297CA9"/>
    <w:rsid w:val="002A0655"/>
    <w:rsid w:val="002A2AB0"/>
    <w:rsid w:val="002B1F1A"/>
    <w:rsid w:val="002B3416"/>
    <w:rsid w:val="002C295E"/>
    <w:rsid w:val="002C7FB3"/>
    <w:rsid w:val="002D03FC"/>
    <w:rsid w:val="002D13E2"/>
    <w:rsid w:val="002D2B87"/>
    <w:rsid w:val="002E080F"/>
    <w:rsid w:val="002E240A"/>
    <w:rsid w:val="002E48E6"/>
    <w:rsid w:val="002F23BF"/>
    <w:rsid w:val="002F2C21"/>
    <w:rsid w:val="00302FD4"/>
    <w:rsid w:val="00303889"/>
    <w:rsid w:val="00303B33"/>
    <w:rsid w:val="003050AE"/>
    <w:rsid w:val="003124EC"/>
    <w:rsid w:val="00313F8E"/>
    <w:rsid w:val="0031400C"/>
    <w:rsid w:val="00315874"/>
    <w:rsid w:val="003160E7"/>
    <w:rsid w:val="00321475"/>
    <w:rsid w:val="003239EA"/>
    <w:rsid w:val="00325B96"/>
    <w:rsid w:val="00325CF9"/>
    <w:rsid w:val="00327FD9"/>
    <w:rsid w:val="00331B2D"/>
    <w:rsid w:val="00337EE9"/>
    <w:rsid w:val="0034077F"/>
    <w:rsid w:val="00344C19"/>
    <w:rsid w:val="00346895"/>
    <w:rsid w:val="003468E7"/>
    <w:rsid w:val="003474F6"/>
    <w:rsid w:val="00352AAE"/>
    <w:rsid w:val="003569DA"/>
    <w:rsid w:val="00357B0E"/>
    <w:rsid w:val="00360F67"/>
    <w:rsid w:val="00362353"/>
    <w:rsid w:val="00364DA8"/>
    <w:rsid w:val="00371627"/>
    <w:rsid w:val="0037333D"/>
    <w:rsid w:val="003736D0"/>
    <w:rsid w:val="00382591"/>
    <w:rsid w:val="00383899"/>
    <w:rsid w:val="00387B03"/>
    <w:rsid w:val="003921E2"/>
    <w:rsid w:val="00393748"/>
    <w:rsid w:val="00396FD8"/>
    <w:rsid w:val="003A03C2"/>
    <w:rsid w:val="003A26B1"/>
    <w:rsid w:val="003A448B"/>
    <w:rsid w:val="003C6A91"/>
    <w:rsid w:val="003D229A"/>
    <w:rsid w:val="003D3BBE"/>
    <w:rsid w:val="003D5146"/>
    <w:rsid w:val="003D60F7"/>
    <w:rsid w:val="003D7D0F"/>
    <w:rsid w:val="003D7ECA"/>
    <w:rsid w:val="003E0894"/>
    <w:rsid w:val="003E092A"/>
    <w:rsid w:val="003E1A44"/>
    <w:rsid w:val="003E3BF4"/>
    <w:rsid w:val="003F31A9"/>
    <w:rsid w:val="003F72CB"/>
    <w:rsid w:val="003F74B6"/>
    <w:rsid w:val="00400342"/>
    <w:rsid w:val="004033FE"/>
    <w:rsid w:val="00406707"/>
    <w:rsid w:val="00406921"/>
    <w:rsid w:val="0041127C"/>
    <w:rsid w:val="00421CF9"/>
    <w:rsid w:val="0042337F"/>
    <w:rsid w:val="00433BE7"/>
    <w:rsid w:val="00434F0C"/>
    <w:rsid w:val="00437B0D"/>
    <w:rsid w:val="0044182D"/>
    <w:rsid w:val="004439D0"/>
    <w:rsid w:val="00446138"/>
    <w:rsid w:val="004515D0"/>
    <w:rsid w:val="00451B0F"/>
    <w:rsid w:val="004569D2"/>
    <w:rsid w:val="00457B90"/>
    <w:rsid w:val="0046148B"/>
    <w:rsid w:val="00461B54"/>
    <w:rsid w:val="00461BDD"/>
    <w:rsid w:val="004647BB"/>
    <w:rsid w:val="0046541E"/>
    <w:rsid w:val="0047261B"/>
    <w:rsid w:val="0047266A"/>
    <w:rsid w:val="004729F0"/>
    <w:rsid w:val="00473364"/>
    <w:rsid w:val="00473A3D"/>
    <w:rsid w:val="00476422"/>
    <w:rsid w:val="00476A57"/>
    <w:rsid w:val="00476F2C"/>
    <w:rsid w:val="004779BD"/>
    <w:rsid w:val="00480D01"/>
    <w:rsid w:val="00484A39"/>
    <w:rsid w:val="00486A58"/>
    <w:rsid w:val="00493053"/>
    <w:rsid w:val="00493682"/>
    <w:rsid w:val="00493E5D"/>
    <w:rsid w:val="00495218"/>
    <w:rsid w:val="004A19EA"/>
    <w:rsid w:val="004B2158"/>
    <w:rsid w:val="004B4B21"/>
    <w:rsid w:val="004B7336"/>
    <w:rsid w:val="004C3423"/>
    <w:rsid w:val="004C3B84"/>
    <w:rsid w:val="004C6C3B"/>
    <w:rsid w:val="004D1874"/>
    <w:rsid w:val="004E16B9"/>
    <w:rsid w:val="004E22A9"/>
    <w:rsid w:val="004E4317"/>
    <w:rsid w:val="004E452A"/>
    <w:rsid w:val="004F4B8D"/>
    <w:rsid w:val="004F799D"/>
    <w:rsid w:val="0050774B"/>
    <w:rsid w:val="00507883"/>
    <w:rsid w:val="00512F40"/>
    <w:rsid w:val="00514D18"/>
    <w:rsid w:val="00515664"/>
    <w:rsid w:val="005238D4"/>
    <w:rsid w:val="00523BC3"/>
    <w:rsid w:val="00534EE5"/>
    <w:rsid w:val="00536C52"/>
    <w:rsid w:val="005448F4"/>
    <w:rsid w:val="00545339"/>
    <w:rsid w:val="005464EE"/>
    <w:rsid w:val="005475C7"/>
    <w:rsid w:val="0055299A"/>
    <w:rsid w:val="0056069D"/>
    <w:rsid w:val="00566978"/>
    <w:rsid w:val="005673EB"/>
    <w:rsid w:val="00567827"/>
    <w:rsid w:val="00567914"/>
    <w:rsid w:val="0057185C"/>
    <w:rsid w:val="00572306"/>
    <w:rsid w:val="00583504"/>
    <w:rsid w:val="005923E4"/>
    <w:rsid w:val="005A0377"/>
    <w:rsid w:val="005A10E9"/>
    <w:rsid w:val="005A3377"/>
    <w:rsid w:val="005A7277"/>
    <w:rsid w:val="005B3307"/>
    <w:rsid w:val="005B36ED"/>
    <w:rsid w:val="005B69BE"/>
    <w:rsid w:val="005D44E8"/>
    <w:rsid w:val="005D5776"/>
    <w:rsid w:val="005D66C2"/>
    <w:rsid w:val="005E15E1"/>
    <w:rsid w:val="005E3447"/>
    <w:rsid w:val="005E5277"/>
    <w:rsid w:val="005F359D"/>
    <w:rsid w:val="006021FF"/>
    <w:rsid w:val="00611D53"/>
    <w:rsid w:val="00616F23"/>
    <w:rsid w:val="00617B4D"/>
    <w:rsid w:val="006216C3"/>
    <w:rsid w:val="006330CA"/>
    <w:rsid w:val="00640061"/>
    <w:rsid w:val="006401A6"/>
    <w:rsid w:val="00643533"/>
    <w:rsid w:val="00644678"/>
    <w:rsid w:val="00647C94"/>
    <w:rsid w:val="006539D7"/>
    <w:rsid w:val="00660140"/>
    <w:rsid w:val="006623EC"/>
    <w:rsid w:val="006646A3"/>
    <w:rsid w:val="006725AE"/>
    <w:rsid w:val="00675BC6"/>
    <w:rsid w:val="00675E5E"/>
    <w:rsid w:val="00677A93"/>
    <w:rsid w:val="006953C2"/>
    <w:rsid w:val="006A5D0F"/>
    <w:rsid w:val="006A618F"/>
    <w:rsid w:val="006B1DF9"/>
    <w:rsid w:val="006C594C"/>
    <w:rsid w:val="006C5EDF"/>
    <w:rsid w:val="006D2744"/>
    <w:rsid w:val="006D5324"/>
    <w:rsid w:val="006D727A"/>
    <w:rsid w:val="006E0449"/>
    <w:rsid w:val="006E5E58"/>
    <w:rsid w:val="006E623F"/>
    <w:rsid w:val="006F01CA"/>
    <w:rsid w:val="006F17C0"/>
    <w:rsid w:val="006F1B41"/>
    <w:rsid w:val="006F1EC0"/>
    <w:rsid w:val="006F3542"/>
    <w:rsid w:val="006F62BB"/>
    <w:rsid w:val="00702C09"/>
    <w:rsid w:val="007075B2"/>
    <w:rsid w:val="00710D27"/>
    <w:rsid w:val="00712A65"/>
    <w:rsid w:val="00713200"/>
    <w:rsid w:val="00720E52"/>
    <w:rsid w:val="00725AB4"/>
    <w:rsid w:val="00725DFB"/>
    <w:rsid w:val="00731C5D"/>
    <w:rsid w:val="00731CA5"/>
    <w:rsid w:val="007328ED"/>
    <w:rsid w:val="00733A59"/>
    <w:rsid w:val="00734D00"/>
    <w:rsid w:val="007359AA"/>
    <w:rsid w:val="00735D89"/>
    <w:rsid w:val="00735F59"/>
    <w:rsid w:val="00736234"/>
    <w:rsid w:val="00736AF3"/>
    <w:rsid w:val="00740D21"/>
    <w:rsid w:val="007426AF"/>
    <w:rsid w:val="0074438E"/>
    <w:rsid w:val="00745EFF"/>
    <w:rsid w:val="007525FD"/>
    <w:rsid w:val="007530E3"/>
    <w:rsid w:val="00754A5C"/>
    <w:rsid w:val="007562B3"/>
    <w:rsid w:val="007573E9"/>
    <w:rsid w:val="00761D50"/>
    <w:rsid w:val="007655C1"/>
    <w:rsid w:val="00771467"/>
    <w:rsid w:val="00772B7F"/>
    <w:rsid w:val="00775ED7"/>
    <w:rsid w:val="007772B0"/>
    <w:rsid w:val="00782762"/>
    <w:rsid w:val="00787443"/>
    <w:rsid w:val="00790CF7"/>
    <w:rsid w:val="00792212"/>
    <w:rsid w:val="007967BB"/>
    <w:rsid w:val="00796EE8"/>
    <w:rsid w:val="007A1A68"/>
    <w:rsid w:val="007B5BCD"/>
    <w:rsid w:val="007B6335"/>
    <w:rsid w:val="007C0668"/>
    <w:rsid w:val="007C140C"/>
    <w:rsid w:val="007C44B6"/>
    <w:rsid w:val="007C50C4"/>
    <w:rsid w:val="007C7646"/>
    <w:rsid w:val="007D0E6F"/>
    <w:rsid w:val="007D56E1"/>
    <w:rsid w:val="007E7D8E"/>
    <w:rsid w:val="007F0670"/>
    <w:rsid w:val="007F0AE1"/>
    <w:rsid w:val="007F460D"/>
    <w:rsid w:val="007F5575"/>
    <w:rsid w:val="0080027C"/>
    <w:rsid w:val="008037A5"/>
    <w:rsid w:val="00806E00"/>
    <w:rsid w:val="00810609"/>
    <w:rsid w:val="008111D7"/>
    <w:rsid w:val="008127D8"/>
    <w:rsid w:val="00813F64"/>
    <w:rsid w:val="00814699"/>
    <w:rsid w:val="00821C8A"/>
    <w:rsid w:val="00822390"/>
    <w:rsid w:val="008225EB"/>
    <w:rsid w:val="00823AC4"/>
    <w:rsid w:val="00832FE8"/>
    <w:rsid w:val="0084063B"/>
    <w:rsid w:val="008425AA"/>
    <w:rsid w:val="00845D9E"/>
    <w:rsid w:val="00846CA0"/>
    <w:rsid w:val="008477DD"/>
    <w:rsid w:val="008477F1"/>
    <w:rsid w:val="00850CBA"/>
    <w:rsid w:val="00850F30"/>
    <w:rsid w:val="00856DDB"/>
    <w:rsid w:val="008571CA"/>
    <w:rsid w:val="008625EC"/>
    <w:rsid w:val="008633AB"/>
    <w:rsid w:val="0086376A"/>
    <w:rsid w:val="00865319"/>
    <w:rsid w:val="00874F22"/>
    <w:rsid w:val="00876415"/>
    <w:rsid w:val="00876D65"/>
    <w:rsid w:val="00883A94"/>
    <w:rsid w:val="00885576"/>
    <w:rsid w:val="00885D9F"/>
    <w:rsid w:val="00887A59"/>
    <w:rsid w:val="00887F43"/>
    <w:rsid w:val="00894879"/>
    <w:rsid w:val="0089778F"/>
    <w:rsid w:val="008A17B2"/>
    <w:rsid w:val="008A55EB"/>
    <w:rsid w:val="008B2711"/>
    <w:rsid w:val="008B31FA"/>
    <w:rsid w:val="008B59A0"/>
    <w:rsid w:val="008C69C8"/>
    <w:rsid w:val="008D0A3E"/>
    <w:rsid w:val="008D0C26"/>
    <w:rsid w:val="008D1E6D"/>
    <w:rsid w:val="008D38F6"/>
    <w:rsid w:val="008E3943"/>
    <w:rsid w:val="008E40E1"/>
    <w:rsid w:val="008E4E35"/>
    <w:rsid w:val="008F1A73"/>
    <w:rsid w:val="008F4E58"/>
    <w:rsid w:val="00900205"/>
    <w:rsid w:val="00900C96"/>
    <w:rsid w:val="00900FE3"/>
    <w:rsid w:val="009021E9"/>
    <w:rsid w:val="00902439"/>
    <w:rsid w:val="0091224B"/>
    <w:rsid w:val="0091258C"/>
    <w:rsid w:val="00914D5D"/>
    <w:rsid w:val="00930476"/>
    <w:rsid w:val="009507B6"/>
    <w:rsid w:val="009545BF"/>
    <w:rsid w:val="00956FAE"/>
    <w:rsid w:val="00960D19"/>
    <w:rsid w:val="009614BD"/>
    <w:rsid w:val="00961B0A"/>
    <w:rsid w:val="009650DE"/>
    <w:rsid w:val="00966B72"/>
    <w:rsid w:val="00971C43"/>
    <w:rsid w:val="00983C21"/>
    <w:rsid w:val="00987DFE"/>
    <w:rsid w:val="00992FD1"/>
    <w:rsid w:val="0099410E"/>
    <w:rsid w:val="0099420E"/>
    <w:rsid w:val="00994AEC"/>
    <w:rsid w:val="009B17B6"/>
    <w:rsid w:val="009B3EFF"/>
    <w:rsid w:val="009C52CA"/>
    <w:rsid w:val="009C57B9"/>
    <w:rsid w:val="009D1D6F"/>
    <w:rsid w:val="009D3098"/>
    <w:rsid w:val="009D318B"/>
    <w:rsid w:val="009D35DA"/>
    <w:rsid w:val="009D6065"/>
    <w:rsid w:val="009D60F7"/>
    <w:rsid w:val="009E1602"/>
    <w:rsid w:val="009E4794"/>
    <w:rsid w:val="009E6EF4"/>
    <w:rsid w:val="009F1020"/>
    <w:rsid w:val="009F4C03"/>
    <w:rsid w:val="00A00E7A"/>
    <w:rsid w:val="00A14965"/>
    <w:rsid w:val="00A1711D"/>
    <w:rsid w:val="00A1791C"/>
    <w:rsid w:val="00A27375"/>
    <w:rsid w:val="00A31FD2"/>
    <w:rsid w:val="00A32181"/>
    <w:rsid w:val="00A35FBE"/>
    <w:rsid w:val="00A37AB7"/>
    <w:rsid w:val="00A41B83"/>
    <w:rsid w:val="00A42EF5"/>
    <w:rsid w:val="00A4368F"/>
    <w:rsid w:val="00A43C47"/>
    <w:rsid w:val="00A51B13"/>
    <w:rsid w:val="00A54709"/>
    <w:rsid w:val="00A57477"/>
    <w:rsid w:val="00A60026"/>
    <w:rsid w:val="00A61567"/>
    <w:rsid w:val="00A66858"/>
    <w:rsid w:val="00A73109"/>
    <w:rsid w:val="00A76D7A"/>
    <w:rsid w:val="00A771CE"/>
    <w:rsid w:val="00A83698"/>
    <w:rsid w:val="00A83D6C"/>
    <w:rsid w:val="00A906EA"/>
    <w:rsid w:val="00A91F30"/>
    <w:rsid w:val="00A97118"/>
    <w:rsid w:val="00A97B99"/>
    <w:rsid w:val="00AA2E78"/>
    <w:rsid w:val="00AB2E46"/>
    <w:rsid w:val="00AB4C95"/>
    <w:rsid w:val="00AB573C"/>
    <w:rsid w:val="00AB75A7"/>
    <w:rsid w:val="00AC3C18"/>
    <w:rsid w:val="00AC55B8"/>
    <w:rsid w:val="00AC5E55"/>
    <w:rsid w:val="00AC698D"/>
    <w:rsid w:val="00AD63B4"/>
    <w:rsid w:val="00AD6413"/>
    <w:rsid w:val="00AD7554"/>
    <w:rsid w:val="00AE37C6"/>
    <w:rsid w:val="00AE7824"/>
    <w:rsid w:val="00AF0ED7"/>
    <w:rsid w:val="00AF57E3"/>
    <w:rsid w:val="00B0040C"/>
    <w:rsid w:val="00B13B75"/>
    <w:rsid w:val="00B14A78"/>
    <w:rsid w:val="00B15D42"/>
    <w:rsid w:val="00B17D4F"/>
    <w:rsid w:val="00B203E2"/>
    <w:rsid w:val="00B32037"/>
    <w:rsid w:val="00B34FCC"/>
    <w:rsid w:val="00B3505B"/>
    <w:rsid w:val="00B36350"/>
    <w:rsid w:val="00B402B6"/>
    <w:rsid w:val="00B45277"/>
    <w:rsid w:val="00B45902"/>
    <w:rsid w:val="00B60B1E"/>
    <w:rsid w:val="00B64B32"/>
    <w:rsid w:val="00B6595B"/>
    <w:rsid w:val="00B65EB4"/>
    <w:rsid w:val="00B74005"/>
    <w:rsid w:val="00B74DF7"/>
    <w:rsid w:val="00B75712"/>
    <w:rsid w:val="00B76127"/>
    <w:rsid w:val="00B772E6"/>
    <w:rsid w:val="00B77F41"/>
    <w:rsid w:val="00B803D6"/>
    <w:rsid w:val="00B80F4D"/>
    <w:rsid w:val="00B815D0"/>
    <w:rsid w:val="00B86AB2"/>
    <w:rsid w:val="00B90F35"/>
    <w:rsid w:val="00B960BB"/>
    <w:rsid w:val="00BA3822"/>
    <w:rsid w:val="00BA6F1A"/>
    <w:rsid w:val="00BA73DC"/>
    <w:rsid w:val="00BB1962"/>
    <w:rsid w:val="00BB7F98"/>
    <w:rsid w:val="00BC0DE0"/>
    <w:rsid w:val="00BC3665"/>
    <w:rsid w:val="00BC36DE"/>
    <w:rsid w:val="00BD1BBD"/>
    <w:rsid w:val="00BD3154"/>
    <w:rsid w:val="00BD46CD"/>
    <w:rsid w:val="00BD6A78"/>
    <w:rsid w:val="00BE1AA5"/>
    <w:rsid w:val="00BE58D8"/>
    <w:rsid w:val="00BE685F"/>
    <w:rsid w:val="00BF1641"/>
    <w:rsid w:val="00BF199E"/>
    <w:rsid w:val="00BF35BD"/>
    <w:rsid w:val="00BF56B8"/>
    <w:rsid w:val="00C04571"/>
    <w:rsid w:val="00C047D9"/>
    <w:rsid w:val="00C04E3B"/>
    <w:rsid w:val="00C114C1"/>
    <w:rsid w:val="00C15174"/>
    <w:rsid w:val="00C341A8"/>
    <w:rsid w:val="00C41494"/>
    <w:rsid w:val="00C463BC"/>
    <w:rsid w:val="00C605E6"/>
    <w:rsid w:val="00C757A6"/>
    <w:rsid w:val="00C7704E"/>
    <w:rsid w:val="00C77CE1"/>
    <w:rsid w:val="00C81FC2"/>
    <w:rsid w:val="00C85B9A"/>
    <w:rsid w:val="00C92AEC"/>
    <w:rsid w:val="00CA36A5"/>
    <w:rsid w:val="00CA423B"/>
    <w:rsid w:val="00CA5B52"/>
    <w:rsid w:val="00CA6136"/>
    <w:rsid w:val="00CA7DFB"/>
    <w:rsid w:val="00CB3C34"/>
    <w:rsid w:val="00CB7F4F"/>
    <w:rsid w:val="00CC32FC"/>
    <w:rsid w:val="00CD2332"/>
    <w:rsid w:val="00CD37FB"/>
    <w:rsid w:val="00CD4B8B"/>
    <w:rsid w:val="00CD6594"/>
    <w:rsid w:val="00CE1234"/>
    <w:rsid w:val="00CE2033"/>
    <w:rsid w:val="00CE2577"/>
    <w:rsid w:val="00CF0318"/>
    <w:rsid w:val="00CF1D25"/>
    <w:rsid w:val="00CF3419"/>
    <w:rsid w:val="00CF4734"/>
    <w:rsid w:val="00D02BDA"/>
    <w:rsid w:val="00D0345B"/>
    <w:rsid w:val="00D0660C"/>
    <w:rsid w:val="00D1002C"/>
    <w:rsid w:val="00D11C5A"/>
    <w:rsid w:val="00D12B02"/>
    <w:rsid w:val="00D136A1"/>
    <w:rsid w:val="00D13A89"/>
    <w:rsid w:val="00D15BCB"/>
    <w:rsid w:val="00D24B57"/>
    <w:rsid w:val="00D24F33"/>
    <w:rsid w:val="00D27447"/>
    <w:rsid w:val="00D27FB2"/>
    <w:rsid w:val="00D30BD3"/>
    <w:rsid w:val="00D32FE7"/>
    <w:rsid w:val="00D33965"/>
    <w:rsid w:val="00D37372"/>
    <w:rsid w:val="00D45528"/>
    <w:rsid w:val="00D456D8"/>
    <w:rsid w:val="00D465D1"/>
    <w:rsid w:val="00D51E20"/>
    <w:rsid w:val="00D55B88"/>
    <w:rsid w:val="00D5645D"/>
    <w:rsid w:val="00D66B83"/>
    <w:rsid w:val="00D6703B"/>
    <w:rsid w:val="00D72A2A"/>
    <w:rsid w:val="00D75013"/>
    <w:rsid w:val="00D807E6"/>
    <w:rsid w:val="00D81970"/>
    <w:rsid w:val="00D8298C"/>
    <w:rsid w:val="00D836A8"/>
    <w:rsid w:val="00D83718"/>
    <w:rsid w:val="00D91774"/>
    <w:rsid w:val="00DA04B9"/>
    <w:rsid w:val="00DA0E2A"/>
    <w:rsid w:val="00DA1940"/>
    <w:rsid w:val="00DA1CEC"/>
    <w:rsid w:val="00DA618E"/>
    <w:rsid w:val="00DC1086"/>
    <w:rsid w:val="00DD05CC"/>
    <w:rsid w:val="00DD18C6"/>
    <w:rsid w:val="00DD250C"/>
    <w:rsid w:val="00DD4CD9"/>
    <w:rsid w:val="00DD64D3"/>
    <w:rsid w:val="00DD6BB4"/>
    <w:rsid w:val="00DE0E22"/>
    <w:rsid w:val="00DE3773"/>
    <w:rsid w:val="00DE4B57"/>
    <w:rsid w:val="00DE576B"/>
    <w:rsid w:val="00DE7CEA"/>
    <w:rsid w:val="00DF234D"/>
    <w:rsid w:val="00E01051"/>
    <w:rsid w:val="00E025A6"/>
    <w:rsid w:val="00E04154"/>
    <w:rsid w:val="00E05261"/>
    <w:rsid w:val="00E11DFD"/>
    <w:rsid w:val="00E14D29"/>
    <w:rsid w:val="00E17B42"/>
    <w:rsid w:val="00E202E9"/>
    <w:rsid w:val="00E27BC2"/>
    <w:rsid w:val="00E3152C"/>
    <w:rsid w:val="00E31713"/>
    <w:rsid w:val="00E348C0"/>
    <w:rsid w:val="00E3610A"/>
    <w:rsid w:val="00E52518"/>
    <w:rsid w:val="00E54EFA"/>
    <w:rsid w:val="00E568C7"/>
    <w:rsid w:val="00E74109"/>
    <w:rsid w:val="00E75C2D"/>
    <w:rsid w:val="00E75FE1"/>
    <w:rsid w:val="00E8038A"/>
    <w:rsid w:val="00E80FBD"/>
    <w:rsid w:val="00E92100"/>
    <w:rsid w:val="00E94D67"/>
    <w:rsid w:val="00E96AC0"/>
    <w:rsid w:val="00E97ACB"/>
    <w:rsid w:val="00E97E66"/>
    <w:rsid w:val="00EA010F"/>
    <w:rsid w:val="00EA1CDE"/>
    <w:rsid w:val="00EA216F"/>
    <w:rsid w:val="00EA6904"/>
    <w:rsid w:val="00EA6D82"/>
    <w:rsid w:val="00EB3BD1"/>
    <w:rsid w:val="00EB56E2"/>
    <w:rsid w:val="00EB59FD"/>
    <w:rsid w:val="00EC1F1A"/>
    <w:rsid w:val="00EC2E3E"/>
    <w:rsid w:val="00EC6D5F"/>
    <w:rsid w:val="00EC7DB1"/>
    <w:rsid w:val="00ED41C2"/>
    <w:rsid w:val="00EE1435"/>
    <w:rsid w:val="00EE72F7"/>
    <w:rsid w:val="00EE7C37"/>
    <w:rsid w:val="00EF06CD"/>
    <w:rsid w:val="00EF1932"/>
    <w:rsid w:val="00F000A5"/>
    <w:rsid w:val="00F11714"/>
    <w:rsid w:val="00F11BD4"/>
    <w:rsid w:val="00F12B9B"/>
    <w:rsid w:val="00F20D70"/>
    <w:rsid w:val="00F2499D"/>
    <w:rsid w:val="00F2508D"/>
    <w:rsid w:val="00F30766"/>
    <w:rsid w:val="00F307EF"/>
    <w:rsid w:val="00F33854"/>
    <w:rsid w:val="00F34C5B"/>
    <w:rsid w:val="00F41D15"/>
    <w:rsid w:val="00F50FC4"/>
    <w:rsid w:val="00F52353"/>
    <w:rsid w:val="00F530EB"/>
    <w:rsid w:val="00F550AF"/>
    <w:rsid w:val="00F56903"/>
    <w:rsid w:val="00F62B8A"/>
    <w:rsid w:val="00F70524"/>
    <w:rsid w:val="00F715DE"/>
    <w:rsid w:val="00F73ACE"/>
    <w:rsid w:val="00F77149"/>
    <w:rsid w:val="00F817F3"/>
    <w:rsid w:val="00F834BE"/>
    <w:rsid w:val="00F83A3F"/>
    <w:rsid w:val="00F85043"/>
    <w:rsid w:val="00F85112"/>
    <w:rsid w:val="00F85C7B"/>
    <w:rsid w:val="00F93A7D"/>
    <w:rsid w:val="00FA49A0"/>
    <w:rsid w:val="00FA6EDB"/>
    <w:rsid w:val="00FB1D6D"/>
    <w:rsid w:val="00FB36E5"/>
    <w:rsid w:val="00FB3CEA"/>
    <w:rsid w:val="00FB6A2B"/>
    <w:rsid w:val="00FB7863"/>
    <w:rsid w:val="00FC6381"/>
    <w:rsid w:val="00FC771D"/>
    <w:rsid w:val="00FD1D6E"/>
    <w:rsid w:val="00FD2C39"/>
    <w:rsid w:val="00FD3337"/>
    <w:rsid w:val="00FD3802"/>
    <w:rsid w:val="00FD3C69"/>
    <w:rsid w:val="00FD5B3B"/>
    <w:rsid w:val="00FE1E68"/>
    <w:rsid w:val="00FE724E"/>
    <w:rsid w:val="00FF04DF"/>
    <w:rsid w:val="00FF0684"/>
    <w:rsid w:val="00FF2596"/>
    <w:rsid w:val="00FF3D66"/>
    <w:rsid w:val="00FF60A4"/>
    <w:rsid w:val="00FF78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6C705"/>
  <w15:chartTrackingRefBased/>
  <w15:docId w15:val="{B126E787-03F5-4C0B-8811-FECD5038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72B7F"/>
    <w:pPr>
      <w:spacing w:after="0" w:line="240" w:lineRule="auto"/>
      <w:jc w:val="both"/>
    </w:pPr>
    <w:rPr>
      <w:rFonts w:ascii="Times New Roman" w:eastAsia="Times New Roman" w:hAnsi="Times New Roman"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72B7F"/>
    <w:pPr>
      <w:tabs>
        <w:tab w:val="center" w:pos="4819"/>
        <w:tab w:val="right" w:pos="9638"/>
      </w:tabs>
    </w:pPr>
  </w:style>
  <w:style w:type="character" w:customStyle="1" w:styleId="IntestazioneCarattere">
    <w:name w:val="Intestazione Carattere"/>
    <w:basedOn w:val="Carpredefinitoparagrafo"/>
    <w:link w:val="Intestazione"/>
    <w:uiPriority w:val="99"/>
    <w:rsid w:val="00772B7F"/>
  </w:style>
  <w:style w:type="paragraph" w:styleId="Pidipagina">
    <w:name w:val="footer"/>
    <w:basedOn w:val="Normale"/>
    <w:link w:val="PidipaginaCarattere"/>
    <w:uiPriority w:val="99"/>
    <w:unhideWhenUsed/>
    <w:rsid w:val="00772B7F"/>
    <w:pPr>
      <w:tabs>
        <w:tab w:val="center" w:pos="4819"/>
        <w:tab w:val="right" w:pos="9638"/>
      </w:tabs>
    </w:pPr>
  </w:style>
  <w:style w:type="character" w:customStyle="1" w:styleId="PidipaginaCarattere">
    <w:name w:val="Piè di pagina Carattere"/>
    <w:basedOn w:val="Carpredefinitoparagrafo"/>
    <w:link w:val="Pidipagina"/>
    <w:uiPriority w:val="99"/>
    <w:rsid w:val="00772B7F"/>
  </w:style>
  <w:style w:type="character" w:styleId="Enfasigrassetto">
    <w:name w:val="Strong"/>
    <w:uiPriority w:val="22"/>
    <w:qFormat/>
    <w:rsid w:val="00772B7F"/>
    <w:rPr>
      <w:b/>
      <w:bCs/>
    </w:rPr>
  </w:style>
  <w:style w:type="character" w:styleId="Collegamentoipertestuale">
    <w:name w:val="Hyperlink"/>
    <w:uiPriority w:val="99"/>
    <w:semiHidden/>
    <w:rsid w:val="00677A93"/>
    <w:rPr>
      <w:color w:val="0000FF"/>
      <w:u w:val="single"/>
    </w:rPr>
  </w:style>
  <w:style w:type="paragraph" w:styleId="NormaleWeb">
    <w:name w:val="Normal (Web)"/>
    <w:basedOn w:val="Normale"/>
    <w:uiPriority w:val="99"/>
    <w:semiHidden/>
    <w:unhideWhenUsed/>
    <w:rsid w:val="00677A93"/>
    <w:pPr>
      <w:spacing w:before="100" w:beforeAutospacing="1" w:after="100" w:afterAutospacing="1"/>
      <w:jc w:val="left"/>
    </w:pPr>
    <w:rPr>
      <w:rFonts w:eastAsiaTheme="minorEastAsia"/>
      <w:szCs w:val="24"/>
    </w:rPr>
  </w:style>
  <w:style w:type="character" w:customStyle="1" w:styleId="Menzionenonrisolta1">
    <w:name w:val="Menzione non risolta1"/>
    <w:basedOn w:val="Carpredefinitoparagrafo"/>
    <w:uiPriority w:val="99"/>
    <w:semiHidden/>
    <w:unhideWhenUsed/>
    <w:rsid w:val="00F93A7D"/>
    <w:rPr>
      <w:color w:val="605E5C"/>
      <w:shd w:val="clear" w:color="auto" w:fill="E1DFDD"/>
    </w:rPr>
  </w:style>
  <w:style w:type="character" w:styleId="Rimandocommento">
    <w:name w:val="annotation reference"/>
    <w:basedOn w:val="Carpredefinitoparagrafo"/>
    <w:uiPriority w:val="99"/>
    <w:semiHidden/>
    <w:unhideWhenUsed/>
    <w:rsid w:val="00E97E66"/>
    <w:rPr>
      <w:sz w:val="16"/>
      <w:szCs w:val="16"/>
    </w:rPr>
  </w:style>
  <w:style w:type="paragraph" w:styleId="Testocommento">
    <w:name w:val="annotation text"/>
    <w:basedOn w:val="Normale"/>
    <w:link w:val="TestocommentoCarattere"/>
    <w:uiPriority w:val="99"/>
    <w:semiHidden/>
    <w:unhideWhenUsed/>
    <w:rsid w:val="00E97E66"/>
    <w:rPr>
      <w:sz w:val="20"/>
    </w:rPr>
  </w:style>
  <w:style w:type="character" w:customStyle="1" w:styleId="TestocommentoCarattere">
    <w:name w:val="Testo commento Carattere"/>
    <w:basedOn w:val="Carpredefinitoparagrafo"/>
    <w:link w:val="Testocommento"/>
    <w:uiPriority w:val="99"/>
    <w:semiHidden/>
    <w:rsid w:val="00E97E66"/>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97E66"/>
    <w:rPr>
      <w:b/>
      <w:bCs/>
    </w:rPr>
  </w:style>
  <w:style w:type="character" w:customStyle="1" w:styleId="SoggettocommentoCarattere">
    <w:name w:val="Soggetto commento Carattere"/>
    <w:basedOn w:val="TestocommentoCarattere"/>
    <w:link w:val="Soggettocommento"/>
    <w:uiPriority w:val="99"/>
    <w:semiHidden/>
    <w:rsid w:val="00E97E66"/>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semiHidden/>
    <w:unhideWhenUsed/>
    <w:rsid w:val="00E97E6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97E66"/>
    <w:rPr>
      <w:rFonts w:ascii="Segoe UI" w:eastAsia="Times New Roman" w:hAnsi="Segoe UI" w:cs="Segoe UI"/>
      <w:sz w:val="18"/>
      <w:szCs w:val="18"/>
      <w:lang w:eastAsia="it-IT"/>
    </w:rPr>
  </w:style>
  <w:style w:type="character" w:customStyle="1" w:styleId="Menzionenonrisolta2">
    <w:name w:val="Menzione non risolta2"/>
    <w:basedOn w:val="Carpredefinitoparagrafo"/>
    <w:uiPriority w:val="99"/>
    <w:semiHidden/>
    <w:unhideWhenUsed/>
    <w:rsid w:val="000B5696"/>
    <w:rPr>
      <w:color w:val="605E5C"/>
      <w:shd w:val="clear" w:color="auto" w:fill="E1DFDD"/>
    </w:rPr>
  </w:style>
  <w:style w:type="character" w:styleId="Collegamentovisitato">
    <w:name w:val="FollowedHyperlink"/>
    <w:basedOn w:val="Carpredefinitoparagrafo"/>
    <w:uiPriority w:val="99"/>
    <w:semiHidden/>
    <w:unhideWhenUsed/>
    <w:rsid w:val="000B56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5463">
      <w:bodyDiv w:val="1"/>
      <w:marLeft w:val="0"/>
      <w:marRight w:val="0"/>
      <w:marTop w:val="0"/>
      <w:marBottom w:val="0"/>
      <w:divBdr>
        <w:top w:val="none" w:sz="0" w:space="0" w:color="auto"/>
        <w:left w:val="none" w:sz="0" w:space="0" w:color="auto"/>
        <w:bottom w:val="none" w:sz="0" w:space="0" w:color="auto"/>
        <w:right w:val="none" w:sz="0" w:space="0" w:color="auto"/>
      </w:divBdr>
    </w:div>
    <w:div w:id="22946387">
      <w:bodyDiv w:val="1"/>
      <w:marLeft w:val="0"/>
      <w:marRight w:val="0"/>
      <w:marTop w:val="0"/>
      <w:marBottom w:val="0"/>
      <w:divBdr>
        <w:top w:val="none" w:sz="0" w:space="0" w:color="auto"/>
        <w:left w:val="none" w:sz="0" w:space="0" w:color="auto"/>
        <w:bottom w:val="none" w:sz="0" w:space="0" w:color="auto"/>
        <w:right w:val="none" w:sz="0" w:space="0" w:color="auto"/>
      </w:divBdr>
    </w:div>
    <w:div w:id="163398470">
      <w:bodyDiv w:val="1"/>
      <w:marLeft w:val="0"/>
      <w:marRight w:val="0"/>
      <w:marTop w:val="0"/>
      <w:marBottom w:val="0"/>
      <w:divBdr>
        <w:top w:val="none" w:sz="0" w:space="0" w:color="auto"/>
        <w:left w:val="none" w:sz="0" w:space="0" w:color="auto"/>
        <w:bottom w:val="none" w:sz="0" w:space="0" w:color="auto"/>
        <w:right w:val="none" w:sz="0" w:space="0" w:color="auto"/>
      </w:divBdr>
    </w:div>
    <w:div w:id="241067887">
      <w:bodyDiv w:val="1"/>
      <w:marLeft w:val="0"/>
      <w:marRight w:val="0"/>
      <w:marTop w:val="0"/>
      <w:marBottom w:val="0"/>
      <w:divBdr>
        <w:top w:val="none" w:sz="0" w:space="0" w:color="auto"/>
        <w:left w:val="none" w:sz="0" w:space="0" w:color="auto"/>
        <w:bottom w:val="none" w:sz="0" w:space="0" w:color="auto"/>
        <w:right w:val="none" w:sz="0" w:space="0" w:color="auto"/>
      </w:divBdr>
    </w:div>
    <w:div w:id="263924457">
      <w:bodyDiv w:val="1"/>
      <w:marLeft w:val="0"/>
      <w:marRight w:val="0"/>
      <w:marTop w:val="0"/>
      <w:marBottom w:val="0"/>
      <w:divBdr>
        <w:top w:val="none" w:sz="0" w:space="0" w:color="auto"/>
        <w:left w:val="none" w:sz="0" w:space="0" w:color="auto"/>
        <w:bottom w:val="none" w:sz="0" w:space="0" w:color="auto"/>
        <w:right w:val="none" w:sz="0" w:space="0" w:color="auto"/>
      </w:divBdr>
    </w:div>
    <w:div w:id="311638840">
      <w:bodyDiv w:val="1"/>
      <w:marLeft w:val="0"/>
      <w:marRight w:val="0"/>
      <w:marTop w:val="0"/>
      <w:marBottom w:val="0"/>
      <w:divBdr>
        <w:top w:val="none" w:sz="0" w:space="0" w:color="auto"/>
        <w:left w:val="none" w:sz="0" w:space="0" w:color="auto"/>
        <w:bottom w:val="none" w:sz="0" w:space="0" w:color="auto"/>
        <w:right w:val="none" w:sz="0" w:space="0" w:color="auto"/>
      </w:divBdr>
    </w:div>
    <w:div w:id="330640623">
      <w:bodyDiv w:val="1"/>
      <w:marLeft w:val="0"/>
      <w:marRight w:val="0"/>
      <w:marTop w:val="0"/>
      <w:marBottom w:val="0"/>
      <w:divBdr>
        <w:top w:val="none" w:sz="0" w:space="0" w:color="auto"/>
        <w:left w:val="none" w:sz="0" w:space="0" w:color="auto"/>
        <w:bottom w:val="none" w:sz="0" w:space="0" w:color="auto"/>
        <w:right w:val="none" w:sz="0" w:space="0" w:color="auto"/>
      </w:divBdr>
    </w:div>
    <w:div w:id="422380613">
      <w:bodyDiv w:val="1"/>
      <w:marLeft w:val="0"/>
      <w:marRight w:val="0"/>
      <w:marTop w:val="0"/>
      <w:marBottom w:val="0"/>
      <w:divBdr>
        <w:top w:val="none" w:sz="0" w:space="0" w:color="auto"/>
        <w:left w:val="none" w:sz="0" w:space="0" w:color="auto"/>
        <w:bottom w:val="none" w:sz="0" w:space="0" w:color="auto"/>
        <w:right w:val="none" w:sz="0" w:space="0" w:color="auto"/>
      </w:divBdr>
    </w:div>
    <w:div w:id="474955889">
      <w:bodyDiv w:val="1"/>
      <w:marLeft w:val="0"/>
      <w:marRight w:val="0"/>
      <w:marTop w:val="0"/>
      <w:marBottom w:val="0"/>
      <w:divBdr>
        <w:top w:val="none" w:sz="0" w:space="0" w:color="auto"/>
        <w:left w:val="none" w:sz="0" w:space="0" w:color="auto"/>
        <w:bottom w:val="none" w:sz="0" w:space="0" w:color="auto"/>
        <w:right w:val="none" w:sz="0" w:space="0" w:color="auto"/>
      </w:divBdr>
    </w:div>
    <w:div w:id="495846922">
      <w:bodyDiv w:val="1"/>
      <w:marLeft w:val="0"/>
      <w:marRight w:val="0"/>
      <w:marTop w:val="0"/>
      <w:marBottom w:val="0"/>
      <w:divBdr>
        <w:top w:val="none" w:sz="0" w:space="0" w:color="auto"/>
        <w:left w:val="none" w:sz="0" w:space="0" w:color="auto"/>
        <w:bottom w:val="none" w:sz="0" w:space="0" w:color="auto"/>
        <w:right w:val="none" w:sz="0" w:space="0" w:color="auto"/>
      </w:divBdr>
    </w:div>
    <w:div w:id="613177913">
      <w:bodyDiv w:val="1"/>
      <w:marLeft w:val="0"/>
      <w:marRight w:val="0"/>
      <w:marTop w:val="0"/>
      <w:marBottom w:val="0"/>
      <w:divBdr>
        <w:top w:val="none" w:sz="0" w:space="0" w:color="auto"/>
        <w:left w:val="none" w:sz="0" w:space="0" w:color="auto"/>
        <w:bottom w:val="none" w:sz="0" w:space="0" w:color="auto"/>
        <w:right w:val="none" w:sz="0" w:space="0" w:color="auto"/>
      </w:divBdr>
    </w:div>
    <w:div w:id="646202605">
      <w:bodyDiv w:val="1"/>
      <w:marLeft w:val="0"/>
      <w:marRight w:val="0"/>
      <w:marTop w:val="0"/>
      <w:marBottom w:val="0"/>
      <w:divBdr>
        <w:top w:val="none" w:sz="0" w:space="0" w:color="auto"/>
        <w:left w:val="none" w:sz="0" w:space="0" w:color="auto"/>
        <w:bottom w:val="none" w:sz="0" w:space="0" w:color="auto"/>
        <w:right w:val="none" w:sz="0" w:space="0" w:color="auto"/>
      </w:divBdr>
    </w:div>
    <w:div w:id="668827608">
      <w:bodyDiv w:val="1"/>
      <w:marLeft w:val="0"/>
      <w:marRight w:val="0"/>
      <w:marTop w:val="0"/>
      <w:marBottom w:val="0"/>
      <w:divBdr>
        <w:top w:val="none" w:sz="0" w:space="0" w:color="auto"/>
        <w:left w:val="none" w:sz="0" w:space="0" w:color="auto"/>
        <w:bottom w:val="none" w:sz="0" w:space="0" w:color="auto"/>
        <w:right w:val="none" w:sz="0" w:space="0" w:color="auto"/>
      </w:divBdr>
    </w:div>
    <w:div w:id="693502808">
      <w:bodyDiv w:val="1"/>
      <w:marLeft w:val="0"/>
      <w:marRight w:val="0"/>
      <w:marTop w:val="0"/>
      <w:marBottom w:val="0"/>
      <w:divBdr>
        <w:top w:val="none" w:sz="0" w:space="0" w:color="auto"/>
        <w:left w:val="none" w:sz="0" w:space="0" w:color="auto"/>
        <w:bottom w:val="none" w:sz="0" w:space="0" w:color="auto"/>
        <w:right w:val="none" w:sz="0" w:space="0" w:color="auto"/>
      </w:divBdr>
    </w:div>
    <w:div w:id="705713635">
      <w:bodyDiv w:val="1"/>
      <w:marLeft w:val="0"/>
      <w:marRight w:val="0"/>
      <w:marTop w:val="0"/>
      <w:marBottom w:val="0"/>
      <w:divBdr>
        <w:top w:val="none" w:sz="0" w:space="0" w:color="auto"/>
        <w:left w:val="none" w:sz="0" w:space="0" w:color="auto"/>
        <w:bottom w:val="none" w:sz="0" w:space="0" w:color="auto"/>
        <w:right w:val="none" w:sz="0" w:space="0" w:color="auto"/>
      </w:divBdr>
    </w:div>
    <w:div w:id="727461950">
      <w:bodyDiv w:val="1"/>
      <w:marLeft w:val="0"/>
      <w:marRight w:val="0"/>
      <w:marTop w:val="0"/>
      <w:marBottom w:val="0"/>
      <w:divBdr>
        <w:top w:val="none" w:sz="0" w:space="0" w:color="auto"/>
        <w:left w:val="none" w:sz="0" w:space="0" w:color="auto"/>
        <w:bottom w:val="none" w:sz="0" w:space="0" w:color="auto"/>
        <w:right w:val="none" w:sz="0" w:space="0" w:color="auto"/>
      </w:divBdr>
    </w:div>
    <w:div w:id="753211135">
      <w:bodyDiv w:val="1"/>
      <w:marLeft w:val="0"/>
      <w:marRight w:val="0"/>
      <w:marTop w:val="0"/>
      <w:marBottom w:val="0"/>
      <w:divBdr>
        <w:top w:val="none" w:sz="0" w:space="0" w:color="auto"/>
        <w:left w:val="none" w:sz="0" w:space="0" w:color="auto"/>
        <w:bottom w:val="none" w:sz="0" w:space="0" w:color="auto"/>
        <w:right w:val="none" w:sz="0" w:space="0" w:color="auto"/>
      </w:divBdr>
    </w:div>
    <w:div w:id="779297371">
      <w:bodyDiv w:val="1"/>
      <w:marLeft w:val="0"/>
      <w:marRight w:val="0"/>
      <w:marTop w:val="0"/>
      <w:marBottom w:val="0"/>
      <w:divBdr>
        <w:top w:val="none" w:sz="0" w:space="0" w:color="auto"/>
        <w:left w:val="none" w:sz="0" w:space="0" w:color="auto"/>
        <w:bottom w:val="none" w:sz="0" w:space="0" w:color="auto"/>
        <w:right w:val="none" w:sz="0" w:space="0" w:color="auto"/>
      </w:divBdr>
    </w:div>
    <w:div w:id="790634400">
      <w:bodyDiv w:val="1"/>
      <w:marLeft w:val="0"/>
      <w:marRight w:val="0"/>
      <w:marTop w:val="0"/>
      <w:marBottom w:val="0"/>
      <w:divBdr>
        <w:top w:val="none" w:sz="0" w:space="0" w:color="auto"/>
        <w:left w:val="none" w:sz="0" w:space="0" w:color="auto"/>
        <w:bottom w:val="none" w:sz="0" w:space="0" w:color="auto"/>
        <w:right w:val="none" w:sz="0" w:space="0" w:color="auto"/>
      </w:divBdr>
    </w:div>
    <w:div w:id="917787261">
      <w:bodyDiv w:val="1"/>
      <w:marLeft w:val="0"/>
      <w:marRight w:val="0"/>
      <w:marTop w:val="0"/>
      <w:marBottom w:val="0"/>
      <w:divBdr>
        <w:top w:val="none" w:sz="0" w:space="0" w:color="auto"/>
        <w:left w:val="none" w:sz="0" w:space="0" w:color="auto"/>
        <w:bottom w:val="none" w:sz="0" w:space="0" w:color="auto"/>
        <w:right w:val="none" w:sz="0" w:space="0" w:color="auto"/>
      </w:divBdr>
    </w:div>
    <w:div w:id="964122080">
      <w:bodyDiv w:val="1"/>
      <w:marLeft w:val="0"/>
      <w:marRight w:val="0"/>
      <w:marTop w:val="0"/>
      <w:marBottom w:val="0"/>
      <w:divBdr>
        <w:top w:val="none" w:sz="0" w:space="0" w:color="auto"/>
        <w:left w:val="none" w:sz="0" w:space="0" w:color="auto"/>
        <w:bottom w:val="none" w:sz="0" w:space="0" w:color="auto"/>
        <w:right w:val="none" w:sz="0" w:space="0" w:color="auto"/>
      </w:divBdr>
    </w:div>
    <w:div w:id="1014646895">
      <w:bodyDiv w:val="1"/>
      <w:marLeft w:val="0"/>
      <w:marRight w:val="0"/>
      <w:marTop w:val="0"/>
      <w:marBottom w:val="0"/>
      <w:divBdr>
        <w:top w:val="none" w:sz="0" w:space="0" w:color="auto"/>
        <w:left w:val="none" w:sz="0" w:space="0" w:color="auto"/>
        <w:bottom w:val="none" w:sz="0" w:space="0" w:color="auto"/>
        <w:right w:val="none" w:sz="0" w:space="0" w:color="auto"/>
      </w:divBdr>
    </w:div>
    <w:div w:id="1069040610">
      <w:bodyDiv w:val="1"/>
      <w:marLeft w:val="0"/>
      <w:marRight w:val="0"/>
      <w:marTop w:val="0"/>
      <w:marBottom w:val="0"/>
      <w:divBdr>
        <w:top w:val="none" w:sz="0" w:space="0" w:color="auto"/>
        <w:left w:val="none" w:sz="0" w:space="0" w:color="auto"/>
        <w:bottom w:val="none" w:sz="0" w:space="0" w:color="auto"/>
        <w:right w:val="none" w:sz="0" w:space="0" w:color="auto"/>
      </w:divBdr>
    </w:div>
    <w:div w:id="1203591262">
      <w:bodyDiv w:val="1"/>
      <w:marLeft w:val="0"/>
      <w:marRight w:val="0"/>
      <w:marTop w:val="0"/>
      <w:marBottom w:val="0"/>
      <w:divBdr>
        <w:top w:val="none" w:sz="0" w:space="0" w:color="auto"/>
        <w:left w:val="none" w:sz="0" w:space="0" w:color="auto"/>
        <w:bottom w:val="none" w:sz="0" w:space="0" w:color="auto"/>
        <w:right w:val="none" w:sz="0" w:space="0" w:color="auto"/>
      </w:divBdr>
    </w:div>
    <w:div w:id="1316570820">
      <w:bodyDiv w:val="1"/>
      <w:marLeft w:val="0"/>
      <w:marRight w:val="0"/>
      <w:marTop w:val="0"/>
      <w:marBottom w:val="0"/>
      <w:divBdr>
        <w:top w:val="none" w:sz="0" w:space="0" w:color="auto"/>
        <w:left w:val="none" w:sz="0" w:space="0" w:color="auto"/>
        <w:bottom w:val="none" w:sz="0" w:space="0" w:color="auto"/>
        <w:right w:val="none" w:sz="0" w:space="0" w:color="auto"/>
      </w:divBdr>
    </w:div>
    <w:div w:id="1446188915">
      <w:bodyDiv w:val="1"/>
      <w:marLeft w:val="0"/>
      <w:marRight w:val="0"/>
      <w:marTop w:val="0"/>
      <w:marBottom w:val="0"/>
      <w:divBdr>
        <w:top w:val="none" w:sz="0" w:space="0" w:color="auto"/>
        <w:left w:val="none" w:sz="0" w:space="0" w:color="auto"/>
        <w:bottom w:val="none" w:sz="0" w:space="0" w:color="auto"/>
        <w:right w:val="none" w:sz="0" w:space="0" w:color="auto"/>
      </w:divBdr>
    </w:div>
    <w:div w:id="1495489162">
      <w:bodyDiv w:val="1"/>
      <w:marLeft w:val="0"/>
      <w:marRight w:val="0"/>
      <w:marTop w:val="0"/>
      <w:marBottom w:val="0"/>
      <w:divBdr>
        <w:top w:val="none" w:sz="0" w:space="0" w:color="auto"/>
        <w:left w:val="none" w:sz="0" w:space="0" w:color="auto"/>
        <w:bottom w:val="none" w:sz="0" w:space="0" w:color="auto"/>
        <w:right w:val="none" w:sz="0" w:space="0" w:color="auto"/>
      </w:divBdr>
    </w:div>
    <w:div w:id="1538278894">
      <w:bodyDiv w:val="1"/>
      <w:marLeft w:val="0"/>
      <w:marRight w:val="0"/>
      <w:marTop w:val="0"/>
      <w:marBottom w:val="0"/>
      <w:divBdr>
        <w:top w:val="none" w:sz="0" w:space="0" w:color="auto"/>
        <w:left w:val="none" w:sz="0" w:space="0" w:color="auto"/>
        <w:bottom w:val="none" w:sz="0" w:space="0" w:color="auto"/>
        <w:right w:val="none" w:sz="0" w:space="0" w:color="auto"/>
      </w:divBdr>
    </w:div>
    <w:div w:id="1714698174">
      <w:bodyDiv w:val="1"/>
      <w:marLeft w:val="0"/>
      <w:marRight w:val="0"/>
      <w:marTop w:val="0"/>
      <w:marBottom w:val="0"/>
      <w:divBdr>
        <w:top w:val="none" w:sz="0" w:space="0" w:color="auto"/>
        <w:left w:val="none" w:sz="0" w:space="0" w:color="auto"/>
        <w:bottom w:val="none" w:sz="0" w:space="0" w:color="auto"/>
        <w:right w:val="none" w:sz="0" w:space="0" w:color="auto"/>
      </w:divBdr>
    </w:div>
    <w:div w:id="1737432252">
      <w:bodyDiv w:val="1"/>
      <w:marLeft w:val="0"/>
      <w:marRight w:val="0"/>
      <w:marTop w:val="0"/>
      <w:marBottom w:val="0"/>
      <w:divBdr>
        <w:top w:val="none" w:sz="0" w:space="0" w:color="auto"/>
        <w:left w:val="none" w:sz="0" w:space="0" w:color="auto"/>
        <w:bottom w:val="none" w:sz="0" w:space="0" w:color="auto"/>
        <w:right w:val="none" w:sz="0" w:space="0" w:color="auto"/>
      </w:divBdr>
    </w:div>
    <w:div w:id="1753430630">
      <w:bodyDiv w:val="1"/>
      <w:marLeft w:val="0"/>
      <w:marRight w:val="0"/>
      <w:marTop w:val="0"/>
      <w:marBottom w:val="0"/>
      <w:divBdr>
        <w:top w:val="none" w:sz="0" w:space="0" w:color="auto"/>
        <w:left w:val="none" w:sz="0" w:space="0" w:color="auto"/>
        <w:bottom w:val="none" w:sz="0" w:space="0" w:color="auto"/>
        <w:right w:val="none" w:sz="0" w:space="0" w:color="auto"/>
      </w:divBdr>
    </w:div>
    <w:div w:id="1879975256">
      <w:bodyDiv w:val="1"/>
      <w:marLeft w:val="0"/>
      <w:marRight w:val="0"/>
      <w:marTop w:val="0"/>
      <w:marBottom w:val="0"/>
      <w:divBdr>
        <w:top w:val="none" w:sz="0" w:space="0" w:color="auto"/>
        <w:left w:val="none" w:sz="0" w:space="0" w:color="auto"/>
        <w:bottom w:val="none" w:sz="0" w:space="0" w:color="auto"/>
        <w:right w:val="none" w:sz="0" w:space="0" w:color="auto"/>
      </w:divBdr>
    </w:div>
    <w:div w:id="2028827050">
      <w:bodyDiv w:val="1"/>
      <w:marLeft w:val="0"/>
      <w:marRight w:val="0"/>
      <w:marTop w:val="0"/>
      <w:marBottom w:val="0"/>
      <w:divBdr>
        <w:top w:val="none" w:sz="0" w:space="0" w:color="auto"/>
        <w:left w:val="none" w:sz="0" w:space="0" w:color="auto"/>
        <w:bottom w:val="none" w:sz="0" w:space="0" w:color="auto"/>
        <w:right w:val="none" w:sz="0" w:space="0" w:color="auto"/>
      </w:divBdr>
    </w:div>
    <w:div w:id="2087068247">
      <w:bodyDiv w:val="1"/>
      <w:marLeft w:val="0"/>
      <w:marRight w:val="0"/>
      <w:marTop w:val="0"/>
      <w:marBottom w:val="0"/>
      <w:divBdr>
        <w:top w:val="none" w:sz="0" w:space="0" w:color="auto"/>
        <w:left w:val="none" w:sz="0" w:space="0" w:color="auto"/>
        <w:bottom w:val="none" w:sz="0" w:space="0" w:color="auto"/>
        <w:right w:val="none" w:sz="0" w:space="0" w:color="auto"/>
      </w:divBdr>
    </w:div>
    <w:div w:id="213039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bmti.it/archivio-indice-prezzi-ingrosso/" TargetMode="External"/><Relationship Id="rId1" Type="http://schemas.openxmlformats.org/officeDocument/2006/relationships/hyperlink" Target="mailto:ufficiostudi@bmt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DD9E0-6EB5-42E7-9E47-5AB4DCE1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2190</Words>
  <Characters>12483</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Nardoni</dc:creator>
  <cp:keywords/>
  <dc:description/>
  <cp:lastModifiedBy>Giampaolo Nardoni</cp:lastModifiedBy>
  <cp:revision>7</cp:revision>
  <cp:lastPrinted>2021-10-18T12:40:00Z</cp:lastPrinted>
  <dcterms:created xsi:type="dcterms:W3CDTF">2021-12-10T07:56:00Z</dcterms:created>
  <dcterms:modified xsi:type="dcterms:W3CDTF">2021-12-15T18:36:00Z</dcterms:modified>
</cp:coreProperties>
</file>