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DE" w:rsidRDefault="00D47C37">
      <w:r>
        <w:rPr>
          <w:b/>
          <w:noProof/>
          <w:sz w:val="32"/>
          <w:szCs w:val="32"/>
        </w:rPr>
        <w:drawing>
          <wp:inline distT="0" distB="0" distL="0" distR="0">
            <wp:extent cx="6174456" cy="311900"/>
            <wp:effectExtent l="0" t="0" r="0" b="0"/>
            <wp:docPr id="1" name="image1.jpg" descr="http://images.ge.camcom.gov.it/f/news_2018/si/sisprint_logh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://images.ge.camcom.gov.it/f/news_2018/si/sisprint_loghi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4456" cy="311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17DE" w:rsidRDefault="00D47C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#SISPRINT IN TOUR</w:t>
      </w:r>
    </w:p>
    <w:p w:rsidR="006E17DE" w:rsidRDefault="006E17DE">
      <w:pPr>
        <w:spacing w:after="0"/>
        <w:jc w:val="center"/>
        <w:rPr>
          <w:i/>
          <w:sz w:val="32"/>
          <w:szCs w:val="32"/>
        </w:rPr>
      </w:pPr>
    </w:p>
    <w:p w:rsidR="006E17DE" w:rsidRDefault="00D47C37">
      <w:pPr>
        <w:spacing w:after="0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Presentato oggi a Genova il rapporto Liguria  </w:t>
      </w:r>
    </w:p>
    <w:p w:rsidR="006E17DE" w:rsidRDefault="00D47C37">
      <w:pPr>
        <w:spacing w:after="0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per progettare lo sviluppo:</w:t>
      </w:r>
    </w:p>
    <w:p w:rsidR="006E17DE" w:rsidRDefault="00D47C37">
      <w:pPr>
        <w:spacing w:after="0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una regione ad alto potenziale </w:t>
      </w:r>
    </w:p>
    <w:p w:rsidR="006E17DE" w:rsidRDefault="006E17DE">
      <w:pPr>
        <w:jc w:val="both"/>
        <w:rPr>
          <w:sz w:val="24"/>
          <w:szCs w:val="24"/>
        </w:rPr>
      </w:pPr>
    </w:p>
    <w:p w:rsidR="006E17DE" w:rsidRDefault="00D47C3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E’</w:t>
      </w:r>
      <w:proofErr w:type="gramEnd"/>
      <w:r>
        <w:rPr>
          <w:sz w:val="24"/>
          <w:szCs w:val="24"/>
        </w:rPr>
        <w:t xml:space="preserve"> una regione ad alto potenziale, con ritardi strutturali ma anche di molti </w:t>
      </w:r>
      <w:proofErr w:type="spellStart"/>
      <w:r>
        <w:rPr>
          <w:i/>
          <w:sz w:val="24"/>
          <w:szCs w:val="24"/>
        </w:rPr>
        <w:t>asset</w:t>
      </w:r>
      <w:proofErr w:type="spellEnd"/>
      <w:r>
        <w:rPr>
          <w:sz w:val="24"/>
          <w:szCs w:val="24"/>
        </w:rPr>
        <w:t xml:space="preserve"> positivi, quella che emerge dal rapporto Liguria presentato oggi, alla Camera di Commercio di Genova, durante la tappa genovese di </w:t>
      </w:r>
      <w:r>
        <w:rPr>
          <w:b/>
          <w:sz w:val="24"/>
          <w:szCs w:val="24"/>
        </w:rPr>
        <w:t>#SISPRINT IN TOUR</w:t>
      </w:r>
      <w:r>
        <w:rPr>
          <w:sz w:val="24"/>
          <w:szCs w:val="24"/>
        </w:rPr>
        <w:t xml:space="preserve">, l’iniziativa itinerante realizzata da Unioncamere e finanziata dal PON </w:t>
      </w:r>
      <w:proofErr w:type="spellStart"/>
      <w:r>
        <w:rPr>
          <w:sz w:val="24"/>
          <w:szCs w:val="24"/>
        </w:rPr>
        <w:t>Governance</w:t>
      </w:r>
      <w:proofErr w:type="spellEnd"/>
      <w:r>
        <w:rPr>
          <w:sz w:val="24"/>
          <w:szCs w:val="24"/>
        </w:rPr>
        <w:t xml:space="preserve"> e Capacità Istituzional</w:t>
      </w:r>
      <w:r>
        <w:rPr>
          <w:sz w:val="24"/>
          <w:szCs w:val="24"/>
        </w:rPr>
        <w:t xml:space="preserve">e 2014-2020. L’obiettivo di </w:t>
      </w:r>
      <w:r>
        <w:rPr>
          <w:b/>
          <w:sz w:val="24"/>
          <w:szCs w:val="24"/>
        </w:rPr>
        <w:t>#SISPRINT IN TOUR</w:t>
      </w:r>
      <w:r>
        <w:rPr>
          <w:sz w:val="24"/>
          <w:szCs w:val="24"/>
        </w:rPr>
        <w:t xml:space="preserve"> è dare una lettura innovativa delle dinamiche economiche delle regioni italiane, integrando il patrimonio di dati delle Camere di Commercio con le altre principali fonti statistiche, e fornire indicazioni utili</w:t>
      </w:r>
      <w:r>
        <w:rPr>
          <w:sz w:val="24"/>
          <w:szCs w:val="24"/>
        </w:rPr>
        <w:t xml:space="preserve"> per le politiche di sviluppo.</w:t>
      </w:r>
    </w:p>
    <w:p w:rsidR="00B96DC2" w:rsidRDefault="00D47C3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"</w:t>
      </w:r>
      <w:r>
        <w:rPr>
          <w:i/>
          <w:sz w:val="24"/>
          <w:szCs w:val="24"/>
        </w:rPr>
        <w:t xml:space="preserve">Siamo oggi in una fase di riprogrammazione della politica regionale per il periodo 2021-2027 - </w:t>
      </w:r>
      <w:r>
        <w:rPr>
          <w:sz w:val="24"/>
          <w:szCs w:val="24"/>
        </w:rPr>
        <w:t xml:space="preserve">commenta il presidente della Camera di Commercio </w:t>
      </w:r>
      <w:r>
        <w:rPr>
          <w:b/>
          <w:sz w:val="24"/>
          <w:szCs w:val="24"/>
        </w:rPr>
        <w:t xml:space="preserve">Luigi Attanasio </w:t>
      </w:r>
      <w:r>
        <w:rPr>
          <w:sz w:val="24"/>
          <w:szCs w:val="24"/>
        </w:rPr>
        <w:t>-</w:t>
      </w:r>
      <w:r>
        <w:rPr>
          <w:i/>
          <w:sz w:val="24"/>
          <w:szCs w:val="24"/>
        </w:rPr>
        <w:t xml:space="preserve"> e riteniamo che il Progetto SISPRINT possa rappresentare un’ut</w:t>
      </w:r>
      <w:r>
        <w:rPr>
          <w:i/>
          <w:sz w:val="24"/>
          <w:szCs w:val="24"/>
        </w:rPr>
        <w:t>ile occasione di confronto tra il partenariato socio-economico regionale e Regione Liguria, in qualità di Autorità di Gestione del POR FESR, per delineare gli assi prioritari di intervento da inserire nel prossimo Programma Operativo.</w:t>
      </w:r>
      <w:r w:rsidR="00B96DC2">
        <w:rPr>
          <w:i/>
          <w:sz w:val="24"/>
          <w:szCs w:val="24"/>
        </w:rPr>
        <w:t xml:space="preserve"> </w:t>
      </w:r>
      <w:r w:rsidR="00CC0C1A">
        <w:rPr>
          <w:i/>
          <w:sz w:val="24"/>
          <w:szCs w:val="24"/>
        </w:rPr>
        <w:t>Il nostro obiettivo è</w:t>
      </w:r>
      <w:r w:rsidR="00B96DC2">
        <w:rPr>
          <w:i/>
          <w:sz w:val="24"/>
          <w:szCs w:val="24"/>
        </w:rPr>
        <w:t xml:space="preserve"> semplificare le procedure per far crescere la partecipazione delle piccole e medie imprese alla prossima tornata</w:t>
      </w:r>
      <w:r w:rsidR="00CC0C1A">
        <w:rPr>
          <w:i/>
          <w:sz w:val="24"/>
          <w:szCs w:val="24"/>
        </w:rPr>
        <w:t xml:space="preserve"> di fondi”.</w:t>
      </w:r>
    </w:p>
    <w:p w:rsidR="006E17DE" w:rsidRDefault="00D47C37">
      <w:pPr>
        <w:jc w:val="both"/>
        <w:rPr>
          <w:b/>
          <w:i/>
          <w:color w:val="1F497D"/>
        </w:rPr>
      </w:pPr>
      <w:r>
        <w:rPr>
          <w:i/>
          <w:sz w:val="24"/>
          <w:szCs w:val="24"/>
        </w:rPr>
        <w:t>“La programmazione è</w:t>
      </w:r>
      <w:r>
        <w:rPr>
          <w:i/>
          <w:sz w:val="24"/>
          <w:szCs w:val="24"/>
        </w:rPr>
        <w:t xml:space="preserve"> fondamentale per la riuscita delle imprese e lo sviluppo del territorio - </w:t>
      </w:r>
      <w:r>
        <w:rPr>
          <w:sz w:val="24"/>
          <w:szCs w:val="24"/>
        </w:rPr>
        <w:t xml:space="preserve">prosegue l’assessore allo sviluppo economico della Regione </w:t>
      </w:r>
      <w:r>
        <w:rPr>
          <w:b/>
          <w:sz w:val="24"/>
          <w:szCs w:val="24"/>
        </w:rPr>
        <w:t>Andrea Benveduti</w:t>
      </w:r>
      <w:r>
        <w:rPr>
          <w:i/>
          <w:sz w:val="24"/>
          <w:szCs w:val="24"/>
        </w:rPr>
        <w:t xml:space="preserve"> - Le associazioni e il sistema camerale funzionano da cinghia di trasmissione con le realtà </w:t>
      </w:r>
      <w:r>
        <w:rPr>
          <w:i/>
          <w:sz w:val="24"/>
          <w:szCs w:val="24"/>
        </w:rPr>
        <w:t>imprenditoriali. Come Regione abbiamo cercato di programmare e mettere a sistema i finanziamenti europei e gli interventi degli assessorati per non disperdere risorse. Nel 2019 una nuova sfida: vogliamo far emergere le realtà imprenditoriali ad “alto pote</w:t>
      </w:r>
      <w:r>
        <w:rPr>
          <w:i/>
          <w:sz w:val="24"/>
          <w:szCs w:val="24"/>
        </w:rPr>
        <w:t>nziale”. Il nostro tessuto imprenditoriale è fatto di piccole e medie imprese che, se sostenute, possono creare sviluppo sostenibile nel tempo e ancorato al territorio, soprattutto all’entroterra”</w:t>
      </w:r>
    </w:p>
    <w:p w:rsidR="006E17DE" w:rsidRDefault="00D47C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Dopo l’apertura di </w:t>
      </w:r>
      <w:r>
        <w:rPr>
          <w:b/>
          <w:sz w:val="24"/>
          <w:szCs w:val="24"/>
        </w:rPr>
        <w:t xml:space="preserve">Luigi Attanasio </w:t>
      </w:r>
      <w:r>
        <w:rPr>
          <w:sz w:val="24"/>
          <w:szCs w:val="24"/>
        </w:rPr>
        <w:t xml:space="preserve">e </w:t>
      </w:r>
      <w:r>
        <w:rPr>
          <w:b/>
          <w:sz w:val="24"/>
          <w:szCs w:val="24"/>
        </w:rPr>
        <w:t xml:space="preserve">Andrea Benveduti, </w:t>
      </w:r>
      <w:r>
        <w:rPr>
          <w:sz w:val="24"/>
          <w:szCs w:val="24"/>
        </w:rPr>
        <w:t>il r</w:t>
      </w:r>
      <w:r>
        <w:rPr>
          <w:sz w:val="24"/>
          <w:szCs w:val="24"/>
        </w:rPr>
        <w:t xml:space="preserve">apporto Liguria 2012/2017 di </w:t>
      </w:r>
      <w:proofErr w:type="spellStart"/>
      <w:r>
        <w:rPr>
          <w:sz w:val="24"/>
          <w:szCs w:val="24"/>
        </w:rPr>
        <w:t>Sisprint</w:t>
      </w:r>
      <w:proofErr w:type="spellEnd"/>
      <w:r>
        <w:rPr>
          <w:sz w:val="24"/>
          <w:szCs w:val="24"/>
        </w:rPr>
        <w:t xml:space="preserve"> è stato presentato da </w:t>
      </w:r>
      <w:r>
        <w:rPr>
          <w:b/>
          <w:sz w:val="24"/>
          <w:szCs w:val="24"/>
        </w:rPr>
        <w:t>Andrea Rinaldi</w:t>
      </w:r>
      <w:r>
        <w:rPr>
          <w:sz w:val="24"/>
          <w:szCs w:val="24"/>
        </w:rPr>
        <w:t xml:space="preserve">, dell’ufficio studi di </w:t>
      </w:r>
      <w:proofErr w:type="spellStart"/>
      <w:proofErr w:type="gramStart"/>
      <w:r>
        <w:rPr>
          <w:b/>
          <w:sz w:val="24"/>
          <w:szCs w:val="24"/>
        </w:rPr>
        <w:t>Sì.Camera</w:t>
      </w:r>
      <w:proofErr w:type="spellEnd"/>
      <w:proofErr w:type="gramEnd"/>
      <w:r>
        <w:rPr>
          <w:sz w:val="24"/>
          <w:szCs w:val="24"/>
        </w:rPr>
        <w:t>. Il report, che si ferma al 2017 e non tiene conto dell’effetto Morandi, dà una lettura dinamica e ragionata dell’andamento dell’economia ligure, ra</w:t>
      </w:r>
      <w:r>
        <w:rPr>
          <w:sz w:val="24"/>
          <w:szCs w:val="24"/>
        </w:rPr>
        <w:t>ffrontandola al Nord Ovest da un lato e al resto d’Italia dall’altro. Il confronto vede la Liguria perdente per quanto riguarda l’invecchiamento della popolazione, la concentrazione di società di capitale, le aree di crisi complessa, il mercato del lavoro,</w:t>
      </w:r>
      <w:r>
        <w:rPr>
          <w:sz w:val="24"/>
          <w:szCs w:val="24"/>
        </w:rPr>
        <w:t xml:space="preserve"> la propensione all’export e l’accesso al credito. Ma la nostra regione risulta vincente per densità imprenditoriale, sviluppo dell’</w:t>
      </w:r>
      <w:r>
        <w:rPr>
          <w:i/>
          <w:sz w:val="24"/>
          <w:szCs w:val="24"/>
        </w:rPr>
        <w:t xml:space="preserve">high </w:t>
      </w:r>
      <w:proofErr w:type="spellStart"/>
      <w:r>
        <w:rPr>
          <w:i/>
          <w:sz w:val="24"/>
          <w:szCs w:val="24"/>
        </w:rPr>
        <w:t>tech</w:t>
      </w:r>
      <w:proofErr w:type="spellEnd"/>
      <w:r>
        <w:rPr>
          <w:sz w:val="24"/>
          <w:szCs w:val="24"/>
        </w:rPr>
        <w:t>, forte connotazione del terziario, presenza di imprese femminili, quota di imprese artigiane, sviluppo della coope</w:t>
      </w:r>
      <w:r>
        <w:rPr>
          <w:sz w:val="24"/>
          <w:szCs w:val="24"/>
        </w:rPr>
        <w:t>razione sociale e il turismo.</w:t>
      </w:r>
    </w:p>
    <w:p w:rsidR="006E17DE" w:rsidRPr="00D47C37" w:rsidRDefault="00D47C3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Al termine della presentazione </w:t>
      </w:r>
      <w:r w:rsidR="00234644">
        <w:rPr>
          <w:sz w:val="24"/>
          <w:szCs w:val="24"/>
        </w:rPr>
        <w:t xml:space="preserve">sono intervenuti </w:t>
      </w:r>
      <w:r>
        <w:rPr>
          <w:sz w:val="24"/>
          <w:szCs w:val="24"/>
        </w:rPr>
        <w:t>il segretario generale</w:t>
      </w:r>
      <w:r w:rsidR="00234644">
        <w:rPr>
          <w:sz w:val="24"/>
          <w:szCs w:val="24"/>
        </w:rPr>
        <w:t xml:space="preserve"> della Camera di Commercio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Maurizio Caviglia</w:t>
      </w:r>
      <w:r w:rsidR="0023464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234644" w:rsidRPr="00234644">
        <w:rPr>
          <w:sz w:val="24"/>
          <w:szCs w:val="24"/>
        </w:rPr>
        <w:t>ponendo</w:t>
      </w:r>
      <w:r w:rsidRPr="00234644">
        <w:rPr>
          <w:sz w:val="24"/>
          <w:szCs w:val="24"/>
        </w:rPr>
        <w:t xml:space="preserve"> </w:t>
      </w:r>
      <w:r>
        <w:rPr>
          <w:sz w:val="24"/>
          <w:szCs w:val="24"/>
        </w:rPr>
        <w:t>l’accento</w:t>
      </w:r>
      <w:r w:rsidR="00234644">
        <w:rPr>
          <w:sz w:val="24"/>
          <w:szCs w:val="24"/>
        </w:rPr>
        <w:t xml:space="preserve"> su come l’invecchiamento della popolazione possa essere visto come un’opportunità di sviluppo alla luce delle enormi potenzialità offerte dalla </w:t>
      </w:r>
      <w:r w:rsidR="00234644">
        <w:rPr>
          <w:i/>
          <w:sz w:val="24"/>
          <w:szCs w:val="24"/>
        </w:rPr>
        <w:t xml:space="preserve">silver economy, </w:t>
      </w:r>
      <w:r>
        <w:rPr>
          <w:sz w:val="24"/>
          <w:szCs w:val="24"/>
        </w:rPr>
        <w:t>le associazioni di categoria</w:t>
      </w:r>
      <w:r w:rsidR="003F461C">
        <w:rPr>
          <w:sz w:val="24"/>
          <w:szCs w:val="24"/>
        </w:rPr>
        <w:t xml:space="preserve"> – con </w:t>
      </w:r>
      <w:r w:rsidR="00234644" w:rsidRPr="003F461C">
        <w:rPr>
          <w:b/>
          <w:sz w:val="24"/>
          <w:szCs w:val="24"/>
        </w:rPr>
        <w:t>Massimo</w:t>
      </w:r>
      <w:r w:rsidR="003F461C" w:rsidRPr="003F461C">
        <w:rPr>
          <w:b/>
          <w:sz w:val="24"/>
          <w:szCs w:val="24"/>
        </w:rPr>
        <w:t xml:space="preserve"> Sola</w:t>
      </w:r>
      <w:r w:rsidR="003F461C">
        <w:rPr>
          <w:sz w:val="24"/>
          <w:szCs w:val="24"/>
        </w:rPr>
        <w:t xml:space="preserve"> per Confindustria, </w:t>
      </w:r>
      <w:r w:rsidR="003F461C">
        <w:rPr>
          <w:b/>
          <w:sz w:val="24"/>
          <w:szCs w:val="24"/>
        </w:rPr>
        <w:t xml:space="preserve">Andrea </w:t>
      </w:r>
      <w:proofErr w:type="spellStart"/>
      <w:r w:rsidR="00D35C4E">
        <w:rPr>
          <w:b/>
          <w:sz w:val="24"/>
          <w:szCs w:val="24"/>
        </w:rPr>
        <w:t>Dameri</w:t>
      </w:r>
      <w:proofErr w:type="spellEnd"/>
      <w:r w:rsidR="00D35C4E">
        <w:rPr>
          <w:b/>
          <w:sz w:val="24"/>
          <w:szCs w:val="24"/>
        </w:rPr>
        <w:t xml:space="preserve"> </w:t>
      </w:r>
      <w:r w:rsidR="007245B4">
        <w:rPr>
          <w:sz w:val="24"/>
          <w:szCs w:val="24"/>
        </w:rPr>
        <w:t>pe</w:t>
      </w:r>
      <w:r w:rsidR="00B96DC2">
        <w:rPr>
          <w:sz w:val="24"/>
          <w:szCs w:val="24"/>
        </w:rPr>
        <w:t>r</w:t>
      </w:r>
      <w:r w:rsidR="007245B4">
        <w:rPr>
          <w:sz w:val="24"/>
          <w:szCs w:val="24"/>
        </w:rPr>
        <w:t xml:space="preserve"> Confesercenti, </w:t>
      </w:r>
      <w:r w:rsidR="00B96DC2" w:rsidRPr="00B96DC2">
        <w:rPr>
          <w:b/>
          <w:sz w:val="24"/>
          <w:szCs w:val="24"/>
        </w:rPr>
        <w:t>Daniela Locati</w:t>
      </w:r>
      <w:r w:rsidR="00B96DC2">
        <w:rPr>
          <w:sz w:val="24"/>
          <w:szCs w:val="24"/>
        </w:rPr>
        <w:t xml:space="preserve"> per Confartigianato e </w:t>
      </w:r>
      <w:r w:rsidR="00B96DC2" w:rsidRPr="00B96DC2">
        <w:rPr>
          <w:b/>
          <w:sz w:val="24"/>
          <w:szCs w:val="24"/>
        </w:rPr>
        <w:t xml:space="preserve">Gianluigi </w:t>
      </w:r>
      <w:proofErr w:type="spellStart"/>
      <w:r w:rsidR="00B96DC2" w:rsidRPr="00B96DC2">
        <w:rPr>
          <w:b/>
          <w:sz w:val="24"/>
          <w:szCs w:val="24"/>
        </w:rPr>
        <w:t>Granero</w:t>
      </w:r>
      <w:proofErr w:type="spellEnd"/>
      <w:r w:rsidR="00B96DC2">
        <w:rPr>
          <w:sz w:val="24"/>
          <w:szCs w:val="24"/>
        </w:rPr>
        <w:t xml:space="preserve"> per Lega coop</w:t>
      </w:r>
      <w:r w:rsidR="00D35C4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96DC2">
        <w:rPr>
          <w:sz w:val="24"/>
          <w:szCs w:val="24"/>
        </w:rPr>
        <w:t xml:space="preserve">- l’Università di Genova con </w:t>
      </w:r>
      <w:r w:rsidR="00B96DC2" w:rsidRPr="00B96DC2">
        <w:rPr>
          <w:b/>
          <w:sz w:val="24"/>
          <w:szCs w:val="24"/>
        </w:rPr>
        <w:t>Marco Invernizzi</w:t>
      </w:r>
      <w:r w:rsidR="00B96DC2">
        <w:rPr>
          <w:sz w:val="24"/>
          <w:szCs w:val="24"/>
        </w:rPr>
        <w:t xml:space="preserve"> e l’IIT con </w:t>
      </w:r>
      <w:r w:rsidR="00B96DC2" w:rsidRPr="00B96DC2">
        <w:rPr>
          <w:b/>
          <w:sz w:val="24"/>
          <w:szCs w:val="24"/>
        </w:rPr>
        <w:t xml:space="preserve">Fabrizio </w:t>
      </w:r>
      <w:proofErr w:type="spellStart"/>
      <w:r w:rsidR="00B96DC2" w:rsidRPr="00B96DC2">
        <w:rPr>
          <w:b/>
          <w:sz w:val="24"/>
          <w:szCs w:val="24"/>
        </w:rPr>
        <w:t>Tubertino</w:t>
      </w:r>
      <w:proofErr w:type="spellEnd"/>
      <w:r w:rsidR="00B96DC2">
        <w:rPr>
          <w:b/>
          <w:sz w:val="24"/>
          <w:szCs w:val="24"/>
        </w:rPr>
        <w:t xml:space="preserve">. </w:t>
      </w:r>
      <w:r w:rsidRPr="00D47C37">
        <w:rPr>
          <w:sz w:val="24"/>
          <w:szCs w:val="24"/>
        </w:rPr>
        <w:t>Ha moderato i</w:t>
      </w:r>
      <w:r>
        <w:rPr>
          <w:sz w:val="24"/>
          <w:szCs w:val="24"/>
        </w:rPr>
        <w:t>l</w:t>
      </w:r>
      <w:r w:rsidRPr="00D47C37">
        <w:rPr>
          <w:sz w:val="24"/>
          <w:szCs w:val="24"/>
        </w:rPr>
        <w:t xml:space="preserve"> dibattito</w:t>
      </w:r>
      <w:r>
        <w:rPr>
          <w:b/>
          <w:sz w:val="24"/>
          <w:szCs w:val="24"/>
        </w:rPr>
        <w:t xml:space="preserve"> Claudio Cipollini</w:t>
      </w:r>
      <w:r>
        <w:rPr>
          <w:sz w:val="24"/>
          <w:szCs w:val="24"/>
        </w:rPr>
        <w:t>, esperto tematico di Sisprint.</w:t>
      </w:r>
      <w:bookmarkStart w:id="0" w:name="_GoBack"/>
      <w:bookmarkEnd w:id="0"/>
    </w:p>
    <w:p w:rsidR="006E17DE" w:rsidRDefault="006E17DE">
      <w:pPr>
        <w:rPr>
          <w:sz w:val="24"/>
          <w:szCs w:val="24"/>
        </w:rPr>
      </w:pPr>
      <w:bookmarkStart w:id="1" w:name="_gjdgxs" w:colFirst="0" w:colLast="0"/>
      <w:bookmarkEnd w:id="1"/>
    </w:p>
    <w:p w:rsidR="006E17DE" w:rsidRDefault="00D47C37">
      <w:pPr>
        <w:rPr>
          <w:sz w:val="24"/>
          <w:szCs w:val="24"/>
        </w:rPr>
      </w:pPr>
      <w:r>
        <w:rPr>
          <w:sz w:val="24"/>
          <w:szCs w:val="24"/>
        </w:rPr>
        <w:t>Genova, 12 dicembre 2018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L’UFFICIO STAMPA</w:t>
      </w:r>
    </w:p>
    <w:p w:rsidR="006E17DE" w:rsidRDefault="006E17DE">
      <w:pPr>
        <w:rPr>
          <w:sz w:val="24"/>
          <w:szCs w:val="24"/>
        </w:rPr>
      </w:pPr>
    </w:p>
    <w:p w:rsidR="006E17DE" w:rsidRDefault="006E17DE">
      <w:pPr>
        <w:spacing w:after="0"/>
        <w:rPr>
          <w:sz w:val="24"/>
          <w:szCs w:val="24"/>
        </w:rPr>
      </w:pPr>
    </w:p>
    <w:p w:rsidR="006E17DE" w:rsidRDefault="006E17DE">
      <w:pPr>
        <w:spacing w:after="0"/>
        <w:rPr>
          <w:sz w:val="26"/>
          <w:szCs w:val="26"/>
        </w:rPr>
      </w:pPr>
    </w:p>
    <w:p w:rsidR="006E17DE" w:rsidRDefault="00D47C37">
      <w:pPr>
        <w:spacing w:after="0"/>
      </w:pPr>
      <w:r>
        <w:t>Ufficio Stampa Camera di Commercio di Genova:</w:t>
      </w:r>
    </w:p>
    <w:p w:rsidR="006E17DE" w:rsidRDefault="00D47C37">
      <w:pPr>
        <w:spacing w:after="0"/>
      </w:pPr>
      <w:r>
        <w:t xml:space="preserve">Anna Galleano </w:t>
      </w:r>
      <w:r>
        <w:tab/>
      </w:r>
      <w:r>
        <w:tab/>
        <w:t>Cell. 335 7780567</w:t>
      </w:r>
      <w:r>
        <w:tab/>
        <w:t xml:space="preserve">Mail  </w:t>
      </w:r>
      <w:hyperlink r:id="rId5">
        <w:r>
          <w:rPr>
            <w:color w:val="0563C1"/>
            <w:u w:val="single"/>
          </w:rPr>
          <w:t>anna.galleano@ge.camcom.it</w:t>
        </w:r>
      </w:hyperlink>
      <w:r>
        <w:t xml:space="preserve"> </w:t>
      </w:r>
    </w:p>
    <w:p w:rsidR="006E17DE" w:rsidRDefault="006E17DE">
      <w:pPr>
        <w:spacing w:after="0"/>
      </w:pPr>
    </w:p>
    <w:p w:rsidR="006E17DE" w:rsidRDefault="00D47C37">
      <w:pPr>
        <w:spacing w:after="0"/>
      </w:pPr>
      <w:r>
        <w:t>Ufficio Stampa Unioncamere:</w:t>
      </w:r>
    </w:p>
    <w:p w:rsidR="006E17DE" w:rsidRDefault="00D47C37">
      <w:pPr>
        <w:spacing w:after="0"/>
      </w:pPr>
      <w:r>
        <w:t xml:space="preserve">Alessandra Altina </w:t>
      </w:r>
      <w:r>
        <w:tab/>
      </w:r>
      <w:r>
        <w:rPr>
          <w:color w:val="000000"/>
        </w:rPr>
        <w:t>Cell. 348 9025607</w:t>
      </w:r>
      <w:r>
        <w:rPr>
          <w:color w:val="000000"/>
        </w:rPr>
        <w:tab/>
        <w:t xml:space="preserve">Mail  </w:t>
      </w:r>
      <w:hyperlink r:id="rId6">
        <w:r>
          <w:rPr>
            <w:color w:val="0563C1"/>
            <w:u w:val="single"/>
          </w:rPr>
          <w:t>alessandra.altina@unioncamere.it</w:t>
        </w:r>
      </w:hyperlink>
    </w:p>
    <w:p w:rsidR="006E17DE" w:rsidRDefault="006E17DE">
      <w:pPr>
        <w:spacing w:after="0"/>
      </w:pPr>
    </w:p>
    <w:p w:rsidR="006E17DE" w:rsidRDefault="006E17DE">
      <w:pPr>
        <w:spacing w:after="0"/>
      </w:pPr>
    </w:p>
    <w:p w:rsidR="006E17DE" w:rsidRDefault="006E17DE">
      <w:pPr>
        <w:spacing w:after="0"/>
      </w:pPr>
    </w:p>
    <w:sectPr w:rsidR="006E17D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6E17DE"/>
    <w:rsid w:val="00234644"/>
    <w:rsid w:val="003F461C"/>
    <w:rsid w:val="006E17DE"/>
    <w:rsid w:val="007245B4"/>
    <w:rsid w:val="00B96DC2"/>
    <w:rsid w:val="00CC0C1A"/>
    <w:rsid w:val="00D35C4E"/>
    <w:rsid w:val="00D47C37"/>
    <w:rsid w:val="00FE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3AD23"/>
  <w15:docId w15:val="{CC19A1BA-0046-47F0-A0CC-487D0D2F5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ssandra.altina@unioncamere.it" TargetMode="External"/><Relationship Id="rId5" Type="http://schemas.openxmlformats.org/officeDocument/2006/relationships/hyperlink" Target="mailto:anna.galleano@ge.camcom.it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Galleano Anna</cp:lastModifiedBy>
  <cp:revision>8</cp:revision>
  <cp:lastPrinted>2018-12-12T10:55:00Z</cp:lastPrinted>
  <dcterms:created xsi:type="dcterms:W3CDTF">2018-12-12T10:43:00Z</dcterms:created>
  <dcterms:modified xsi:type="dcterms:W3CDTF">2018-12-12T11:04:00Z</dcterms:modified>
</cp:coreProperties>
</file>