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BF" w:rsidRDefault="00792DBF">
      <w:pPr>
        <w:pBdr>
          <w:top w:val="nil"/>
          <w:left w:val="nil"/>
          <w:bottom w:val="nil"/>
          <w:right w:val="nil"/>
          <w:between w:val="nil"/>
        </w:pBdr>
        <w:rPr>
          <w:rFonts w:ascii="Calibri" w:eastAsia="Calibri" w:hAnsi="Calibri" w:cs="Calibri"/>
          <w:color w:val="000000"/>
          <w:sz w:val="24"/>
          <w:szCs w:val="24"/>
        </w:rPr>
      </w:pPr>
    </w:p>
    <w:p w:rsidR="00792DBF" w:rsidRDefault="00792DBF">
      <w:pPr>
        <w:pBdr>
          <w:top w:val="nil"/>
          <w:left w:val="nil"/>
          <w:bottom w:val="nil"/>
          <w:right w:val="nil"/>
          <w:between w:val="nil"/>
        </w:pBdr>
        <w:rPr>
          <w:rFonts w:ascii="Calibri" w:eastAsia="Calibri" w:hAnsi="Calibri" w:cs="Calibri"/>
          <w:color w:val="000000"/>
          <w:sz w:val="24"/>
          <w:szCs w:val="24"/>
        </w:rPr>
      </w:pPr>
    </w:p>
    <w:p w:rsidR="00792DBF" w:rsidRDefault="00792DBF">
      <w:pPr>
        <w:pBdr>
          <w:top w:val="nil"/>
          <w:left w:val="nil"/>
          <w:bottom w:val="nil"/>
          <w:right w:val="nil"/>
          <w:between w:val="nil"/>
        </w:pBdr>
        <w:rPr>
          <w:rFonts w:ascii="Rasa" w:eastAsia="Rasa" w:hAnsi="Rasa" w:cs="Rasa"/>
          <w:color w:val="071D49"/>
          <w:sz w:val="24"/>
          <w:szCs w:val="24"/>
        </w:rPr>
      </w:pPr>
    </w:p>
    <w:p w:rsidR="00792DBF" w:rsidRDefault="00D512CC">
      <w:pPr>
        <w:pBdr>
          <w:top w:val="nil"/>
          <w:left w:val="nil"/>
          <w:bottom w:val="nil"/>
          <w:right w:val="nil"/>
          <w:between w:val="nil"/>
        </w:pBdr>
        <w:rPr>
          <w:rFonts w:ascii="Rasa" w:eastAsia="Rasa" w:hAnsi="Rasa" w:cs="Rasa"/>
          <w:color w:val="071D49"/>
          <w:sz w:val="24"/>
          <w:szCs w:val="24"/>
        </w:rPr>
      </w:pPr>
      <w:r>
        <w:rPr>
          <w:noProof/>
        </w:rPr>
        <w:drawing>
          <wp:anchor distT="0" distB="0" distL="0" distR="0" simplePos="0" relativeHeight="251658240" behindDoc="1" locked="0" layoutInCell="1" hidden="0" allowOverlap="1">
            <wp:simplePos x="0" y="0"/>
            <wp:positionH relativeFrom="column">
              <wp:posOffset>-982344</wp:posOffset>
            </wp:positionH>
            <wp:positionV relativeFrom="paragraph">
              <wp:posOffset>-1395094</wp:posOffset>
            </wp:positionV>
            <wp:extent cx="7578090" cy="15544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78090" cy="1554480"/>
                    </a:xfrm>
                    <a:prstGeom prst="rect">
                      <a:avLst/>
                    </a:prstGeom>
                    <a:ln/>
                  </pic:spPr>
                </pic:pic>
              </a:graphicData>
            </a:graphic>
          </wp:anchor>
        </w:drawing>
      </w:r>
    </w:p>
    <w:p w:rsidR="00792DBF" w:rsidRDefault="00D512CC">
      <w:pPr>
        <w:pBdr>
          <w:top w:val="nil"/>
          <w:left w:val="nil"/>
          <w:bottom w:val="nil"/>
          <w:right w:val="nil"/>
          <w:between w:val="nil"/>
        </w:pBdr>
        <w:rPr>
          <w:rFonts w:ascii="Calibri" w:eastAsia="Calibri" w:hAnsi="Calibri" w:cs="Calibri"/>
          <w:color w:val="000000"/>
          <w:sz w:val="24"/>
          <w:szCs w:val="24"/>
        </w:rPr>
      </w:pPr>
      <w:r>
        <w:rPr>
          <w:rFonts w:ascii="Rasa" w:eastAsia="Rasa" w:hAnsi="Rasa" w:cs="Rasa"/>
          <w:color w:val="071D49"/>
          <w:sz w:val="24"/>
          <w:szCs w:val="24"/>
        </w:rPr>
        <w:t>Comunicato stampa</w:t>
      </w:r>
    </w:p>
    <w:p w:rsidR="00792DBF" w:rsidRDefault="00792DBF">
      <w:pPr>
        <w:pBdr>
          <w:top w:val="nil"/>
          <w:left w:val="nil"/>
          <w:bottom w:val="nil"/>
          <w:right w:val="nil"/>
          <w:between w:val="nil"/>
        </w:pBdr>
        <w:jc w:val="center"/>
        <w:rPr>
          <w:rFonts w:ascii="Calibri" w:eastAsia="Calibri" w:hAnsi="Calibri" w:cs="Calibri"/>
          <w:color w:val="000000"/>
          <w:sz w:val="32"/>
          <w:szCs w:val="32"/>
        </w:rPr>
      </w:pPr>
    </w:p>
    <w:p w:rsidR="00792DBF" w:rsidRDefault="00D512CC">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 xml:space="preserve">Fase 3: 2 imprese su 5 contano di recuperare entro il 2020 </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630802">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Roma, 0</w:t>
      </w:r>
      <w:r w:rsidR="00DA396F">
        <w:rPr>
          <w:rFonts w:ascii="Calibri" w:eastAsia="Calibri" w:hAnsi="Calibri" w:cs="Calibri"/>
          <w:color w:val="000000"/>
          <w:sz w:val="24"/>
          <w:szCs w:val="24"/>
        </w:rPr>
        <w:t>7</w:t>
      </w:r>
      <w:r w:rsidR="00D512CC">
        <w:rPr>
          <w:rFonts w:ascii="Calibri" w:eastAsia="Calibri" w:hAnsi="Calibri" w:cs="Calibri"/>
          <w:color w:val="000000"/>
          <w:sz w:val="24"/>
          <w:szCs w:val="24"/>
        </w:rPr>
        <w:t xml:space="preserve"> agosto 2020 – L’emergenza non è ancora finita ma le imprese già guardano al domani. Anche se permane un clima di incertezza, sono 600 mila le aziende che contano di recuperare risultati operativi accettabili entro fine anno. Mentre per ulteriori </w:t>
      </w:r>
      <w:r w:rsidR="00EA082E">
        <w:rPr>
          <w:rFonts w:ascii="Calibri" w:eastAsia="Calibri" w:hAnsi="Calibri" w:cs="Calibri"/>
          <w:color w:val="000000"/>
          <w:sz w:val="24"/>
          <w:szCs w:val="24"/>
        </w:rPr>
        <w:t xml:space="preserve">580 </w:t>
      </w:r>
      <w:r w:rsidR="00D512CC">
        <w:rPr>
          <w:rFonts w:ascii="Calibri" w:eastAsia="Calibri" w:hAnsi="Calibri" w:cs="Calibri"/>
          <w:color w:val="000000"/>
          <w:sz w:val="24"/>
          <w:szCs w:val="24"/>
        </w:rPr>
        <w:t>mila bisognerà aspettare il 2021 per superare questo passaggio difficile.</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E’ quanto </w:t>
      </w:r>
      <w:r w:rsidR="00A0025A">
        <w:rPr>
          <w:rFonts w:ascii="Calibri" w:eastAsia="Calibri" w:hAnsi="Calibri" w:cs="Calibri"/>
          <w:color w:val="000000"/>
          <w:sz w:val="24"/>
          <w:szCs w:val="24"/>
        </w:rPr>
        <w:t xml:space="preserve">risulta da un approfondimento del </w:t>
      </w:r>
      <w:r w:rsidR="00A0025A" w:rsidRPr="00A0025A">
        <w:rPr>
          <w:rFonts w:ascii="Calibri" w:eastAsia="Calibri" w:hAnsi="Calibri" w:cs="Calibri"/>
          <w:color w:val="000000"/>
          <w:sz w:val="24"/>
          <w:szCs w:val="24"/>
        </w:rPr>
        <w:t xml:space="preserve">sistema informativo </w:t>
      </w:r>
      <w:bookmarkStart w:id="0" w:name="_GoBack"/>
      <w:bookmarkEnd w:id="0"/>
      <w:proofErr w:type="spellStart"/>
      <w:r>
        <w:rPr>
          <w:rFonts w:ascii="Calibri" w:eastAsia="Calibri" w:hAnsi="Calibri" w:cs="Calibri"/>
          <w:b/>
          <w:color w:val="000000"/>
          <w:sz w:val="24"/>
          <w:szCs w:val="24"/>
        </w:rPr>
        <w:t>Excelsior</w:t>
      </w:r>
      <w:proofErr w:type="spellEnd"/>
      <w:r>
        <w:rPr>
          <w:rFonts w:ascii="Calibri" w:eastAsia="Calibri" w:hAnsi="Calibri" w:cs="Calibri"/>
          <w:color w:val="000000"/>
          <w:sz w:val="24"/>
          <w:szCs w:val="24"/>
        </w:rPr>
        <w:t xml:space="preserve"> su un universo di 1.380 mila imprese con almeno un dipendente, condotta tra il 25 maggio e il 9 giugno 2020 da </w:t>
      </w:r>
      <w:r>
        <w:rPr>
          <w:rFonts w:ascii="Calibri" w:eastAsia="Calibri" w:hAnsi="Calibri" w:cs="Calibri"/>
          <w:b/>
          <w:color w:val="000000"/>
          <w:sz w:val="24"/>
          <w:szCs w:val="24"/>
        </w:rPr>
        <w:t xml:space="preserve">Unioncamere </w:t>
      </w:r>
      <w:r>
        <w:rPr>
          <w:rFonts w:ascii="Calibri" w:eastAsia="Calibri" w:hAnsi="Calibri" w:cs="Calibri"/>
          <w:color w:val="000000"/>
          <w:sz w:val="24"/>
          <w:szCs w:val="24"/>
        </w:rPr>
        <w:t>in accordo con</w:t>
      </w:r>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Anpal</w:t>
      </w:r>
      <w:proofErr w:type="spellEnd"/>
      <w:r>
        <w:rPr>
          <w:rFonts w:ascii="Calibri" w:eastAsia="Calibri" w:hAnsi="Calibri" w:cs="Calibri"/>
          <w:color w:val="000000"/>
          <w:sz w:val="24"/>
          <w:szCs w:val="24"/>
        </w:rPr>
        <w:t xml:space="preserve">, per  indagare sugli  impatti </w:t>
      </w:r>
      <w:r w:rsidRPr="00630802">
        <w:rPr>
          <w:rFonts w:ascii="Calibri" w:eastAsia="Calibri" w:hAnsi="Calibri" w:cs="Calibri"/>
          <w:sz w:val="24"/>
          <w:szCs w:val="24"/>
        </w:rPr>
        <w:t xml:space="preserve">del </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xml:space="preserve"> e sulle strategie per i prossimi mesi  e i tempi previsti per la ripresa</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Secondo l’indagine soltanto 180 mila imprese (il 13,1% del totale) non ha subito contraccolpi produttivi e perdite economiche significative nel corso del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xml:space="preserve">, a </w:t>
      </w:r>
      <w:proofErr w:type="gramStart"/>
      <w:r>
        <w:rPr>
          <w:rFonts w:ascii="Calibri" w:eastAsia="Calibri" w:hAnsi="Calibri" w:cs="Calibri"/>
          <w:color w:val="000000"/>
          <w:sz w:val="24"/>
          <w:szCs w:val="24"/>
        </w:rPr>
        <w:t>fronte</w:t>
      </w:r>
      <w:proofErr w:type="gramEnd"/>
      <w:r>
        <w:rPr>
          <w:rFonts w:ascii="Calibri" w:eastAsia="Calibri" w:hAnsi="Calibri" w:cs="Calibri"/>
          <w:color w:val="000000"/>
          <w:sz w:val="24"/>
          <w:szCs w:val="24"/>
        </w:rPr>
        <w:t xml:space="preserve"> di quasi l’85% delle aziende che non ha ancora potuto assorbire le ripercussioni della crisi.</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A presentarsi più preparate a superare le barriere fisiche</w:t>
      </w:r>
      <w:r w:rsidR="00EA082E">
        <w:rPr>
          <w:rFonts w:ascii="Calibri" w:eastAsia="Calibri" w:hAnsi="Calibri" w:cs="Calibri"/>
          <w:color w:val="000000"/>
          <w:sz w:val="24"/>
          <w:szCs w:val="24"/>
        </w:rPr>
        <w:t xml:space="preserve"> imposte nella fase del </w:t>
      </w:r>
      <w:proofErr w:type="spellStart"/>
      <w:r w:rsidR="00EA082E">
        <w:rPr>
          <w:rFonts w:ascii="Calibri" w:eastAsia="Calibri" w:hAnsi="Calibri" w:cs="Calibri"/>
          <w:color w:val="000000"/>
          <w:sz w:val="24"/>
          <w:szCs w:val="24"/>
        </w:rPr>
        <w:t>lockdown</w:t>
      </w:r>
      <w:proofErr w:type="spellEnd"/>
      <w:r>
        <w:rPr>
          <w:rFonts w:ascii="Calibri" w:eastAsia="Calibri" w:hAnsi="Calibri" w:cs="Calibri"/>
          <w:color w:val="000000"/>
          <w:sz w:val="24"/>
          <w:szCs w:val="24"/>
        </w:rPr>
        <w:t xml:space="preserve">, sono state le imprese che hanno adottato piani integrati di digitalizzazione. Il 15,3% di queste dichiara di non aver subito perdite nel periodo del </w:t>
      </w:r>
      <w:proofErr w:type="spellStart"/>
      <w:r>
        <w:rPr>
          <w:rFonts w:ascii="Calibri" w:eastAsia="Calibri" w:hAnsi="Calibri" w:cs="Calibri"/>
          <w:color w:val="000000"/>
          <w:sz w:val="24"/>
          <w:szCs w:val="24"/>
        </w:rPr>
        <w:t>lockdown</w:t>
      </w:r>
      <w:proofErr w:type="spellEnd"/>
      <w:r>
        <w:rPr>
          <w:rFonts w:ascii="Calibri" w:eastAsia="Calibri" w:hAnsi="Calibri" w:cs="Calibri"/>
          <w:color w:val="000000"/>
          <w:sz w:val="24"/>
          <w:szCs w:val="24"/>
        </w:rPr>
        <w:t xml:space="preserve"> e sembra poter guardare ad un recupero relativamente meno lontano </w:t>
      </w:r>
      <w:r w:rsidR="00977FF9">
        <w:rPr>
          <w:rFonts w:ascii="Calibri" w:eastAsia="Calibri" w:hAnsi="Calibri" w:cs="Calibri"/>
          <w:color w:val="000000"/>
          <w:sz w:val="24"/>
          <w:szCs w:val="24"/>
        </w:rPr>
        <w:t xml:space="preserve">nel tempo </w:t>
      </w:r>
      <w:r>
        <w:rPr>
          <w:rFonts w:ascii="Calibri" w:eastAsia="Calibri" w:hAnsi="Calibri" w:cs="Calibri"/>
          <w:color w:val="000000"/>
          <w:sz w:val="24"/>
          <w:szCs w:val="24"/>
        </w:rPr>
        <w:t>avendo potuto adattare più rapidamente la propria organizzazione ai cambiamenti repentini determinati dalla crisi da Covid-19. Al contrario, l’insufficiente o parziale impegno negli investimenti digitali è un fattore che porta le imprese a valutare tempi di ripresa più lunghi e a riportare maggiori difficoltà nella gestione finanziaria delle fasi dell’emergenza sanitaria.</w:t>
      </w:r>
    </w:p>
    <w:p w:rsidR="00792DBF" w:rsidRDefault="00977FF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Aver </w:t>
      </w:r>
      <w:r w:rsidR="00D512CC">
        <w:rPr>
          <w:rFonts w:ascii="Calibri" w:eastAsia="Calibri" w:hAnsi="Calibri" w:cs="Calibri"/>
          <w:color w:val="000000"/>
          <w:sz w:val="24"/>
          <w:szCs w:val="24"/>
        </w:rPr>
        <w:t xml:space="preserve">potuto riprendere le attività immediatamente dopo la fase di più stretto </w:t>
      </w:r>
      <w:proofErr w:type="spellStart"/>
      <w:r w:rsidR="00D512CC">
        <w:rPr>
          <w:rFonts w:ascii="Calibri" w:eastAsia="Calibri" w:hAnsi="Calibri" w:cs="Calibri"/>
          <w:color w:val="000000"/>
          <w:sz w:val="24"/>
          <w:szCs w:val="24"/>
        </w:rPr>
        <w:t>lockdown</w:t>
      </w:r>
      <w:proofErr w:type="spellEnd"/>
      <w:r w:rsidR="00D512CC">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fa sì che le imprese delle costruzioni </w:t>
      </w:r>
      <w:r w:rsidR="00D512CC">
        <w:rPr>
          <w:rFonts w:ascii="Calibri" w:eastAsia="Calibri" w:hAnsi="Calibri" w:cs="Calibri"/>
          <w:color w:val="000000"/>
          <w:sz w:val="24"/>
          <w:szCs w:val="24"/>
        </w:rPr>
        <w:t>mostr</w:t>
      </w:r>
      <w:r>
        <w:rPr>
          <w:rFonts w:ascii="Calibri" w:eastAsia="Calibri" w:hAnsi="Calibri" w:cs="Calibri"/>
          <w:color w:val="000000"/>
          <w:sz w:val="24"/>
          <w:szCs w:val="24"/>
        </w:rPr>
        <w:t>ino</w:t>
      </w:r>
      <w:r w:rsidR="00D512CC">
        <w:rPr>
          <w:rFonts w:ascii="Calibri" w:eastAsia="Calibri" w:hAnsi="Calibri" w:cs="Calibri"/>
          <w:color w:val="000000"/>
          <w:sz w:val="24"/>
          <w:szCs w:val="24"/>
        </w:rPr>
        <w:t xml:space="preserve"> la migliore aspettativa di recupero tra tutti i principali macro-settori. </w:t>
      </w:r>
      <w:r>
        <w:rPr>
          <w:rFonts w:ascii="Calibri" w:eastAsia="Calibri" w:hAnsi="Calibri" w:cs="Calibri"/>
          <w:color w:val="000000"/>
          <w:sz w:val="24"/>
          <w:szCs w:val="24"/>
        </w:rPr>
        <w:t>Per q</w:t>
      </w:r>
      <w:r w:rsidR="00D512CC">
        <w:rPr>
          <w:rFonts w:ascii="Calibri" w:eastAsia="Calibri" w:hAnsi="Calibri" w:cs="Calibri"/>
          <w:color w:val="000000"/>
          <w:sz w:val="24"/>
          <w:szCs w:val="24"/>
        </w:rPr>
        <w:t xml:space="preserve">uasi un sesto degli operatori il superamento delle difficoltà </w:t>
      </w:r>
      <w:r>
        <w:rPr>
          <w:rFonts w:ascii="Calibri" w:eastAsia="Calibri" w:hAnsi="Calibri" w:cs="Calibri"/>
          <w:color w:val="000000"/>
          <w:sz w:val="24"/>
          <w:szCs w:val="24"/>
        </w:rPr>
        <w:t xml:space="preserve">è atteso </w:t>
      </w:r>
      <w:r w:rsidR="00D512CC">
        <w:rPr>
          <w:rFonts w:ascii="Calibri" w:eastAsia="Calibri" w:hAnsi="Calibri" w:cs="Calibri"/>
          <w:color w:val="000000"/>
          <w:sz w:val="24"/>
          <w:szCs w:val="24"/>
        </w:rPr>
        <w:t xml:space="preserve">entro fine luglio e </w:t>
      </w:r>
      <w:r w:rsidR="00E72131">
        <w:rPr>
          <w:rFonts w:ascii="Calibri" w:eastAsia="Calibri" w:hAnsi="Calibri" w:cs="Calibri"/>
          <w:color w:val="000000"/>
          <w:sz w:val="24"/>
          <w:szCs w:val="24"/>
        </w:rPr>
        <w:t xml:space="preserve">per </w:t>
      </w:r>
      <w:r w:rsidR="00D512CC">
        <w:rPr>
          <w:rFonts w:ascii="Calibri" w:eastAsia="Calibri" w:hAnsi="Calibri" w:cs="Calibri"/>
          <w:color w:val="000000"/>
          <w:sz w:val="24"/>
          <w:szCs w:val="24"/>
        </w:rPr>
        <w:t xml:space="preserve">un ulteriore 9% </w:t>
      </w:r>
      <w:r w:rsidR="00E72131">
        <w:rPr>
          <w:rFonts w:ascii="Calibri" w:eastAsia="Calibri" w:hAnsi="Calibri" w:cs="Calibri"/>
          <w:color w:val="000000"/>
          <w:sz w:val="24"/>
          <w:szCs w:val="24"/>
        </w:rPr>
        <w:t xml:space="preserve">entro la </w:t>
      </w:r>
      <w:r w:rsidR="00D512CC">
        <w:rPr>
          <w:rFonts w:ascii="Calibri" w:eastAsia="Calibri" w:hAnsi="Calibri" w:cs="Calibri"/>
          <w:color w:val="000000"/>
          <w:sz w:val="24"/>
          <w:szCs w:val="24"/>
        </w:rPr>
        <w:t xml:space="preserve">fine </w:t>
      </w:r>
      <w:r w:rsidR="00E72131">
        <w:rPr>
          <w:rFonts w:ascii="Calibri" w:eastAsia="Calibri" w:hAnsi="Calibri" w:cs="Calibri"/>
          <w:color w:val="000000"/>
          <w:sz w:val="24"/>
          <w:szCs w:val="24"/>
        </w:rPr>
        <w:t xml:space="preserve">di </w:t>
      </w:r>
      <w:r w:rsidR="00D512CC">
        <w:rPr>
          <w:rFonts w:ascii="Calibri" w:eastAsia="Calibri" w:hAnsi="Calibri" w:cs="Calibri"/>
          <w:color w:val="000000"/>
          <w:sz w:val="24"/>
          <w:szCs w:val="24"/>
        </w:rPr>
        <w:t>ottobre, sebbene la quota di quell</w:t>
      </w:r>
      <w:r>
        <w:rPr>
          <w:rFonts w:ascii="Calibri" w:eastAsia="Calibri" w:hAnsi="Calibri" w:cs="Calibri"/>
          <w:color w:val="000000"/>
          <w:sz w:val="24"/>
          <w:szCs w:val="24"/>
        </w:rPr>
        <w:t>i</w:t>
      </w:r>
      <w:r w:rsidR="00D512CC">
        <w:rPr>
          <w:rFonts w:ascii="Calibri" w:eastAsia="Calibri" w:hAnsi="Calibri" w:cs="Calibri"/>
          <w:color w:val="000000"/>
          <w:sz w:val="24"/>
          <w:szCs w:val="24"/>
        </w:rPr>
        <w:t xml:space="preserve"> che non hanno subito perdite nel periodo di sospensione obbligata </w:t>
      </w:r>
      <w:r>
        <w:rPr>
          <w:rFonts w:ascii="Calibri" w:eastAsia="Calibri" w:hAnsi="Calibri" w:cs="Calibri"/>
          <w:color w:val="000000"/>
          <w:sz w:val="24"/>
          <w:szCs w:val="24"/>
        </w:rPr>
        <w:t>è</w:t>
      </w:r>
      <w:r w:rsidR="00D512CC">
        <w:rPr>
          <w:rFonts w:ascii="Calibri" w:eastAsia="Calibri" w:hAnsi="Calibri" w:cs="Calibri"/>
          <w:color w:val="000000"/>
          <w:sz w:val="24"/>
          <w:szCs w:val="24"/>
        </w:rPr>
        <w:t xml:space="preserve"> piuttosto contenuta (intorno al 7%). </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Situazione più critica invece per le imprese del settore turistico. Ben il 63,1% di queste imprese ritiene di poter tornare a livelli di attività adeguati solo in tempi lunghi – non prima del primo semestre del 2021. E soltanto il 6,2% (la quota più contenuta tra tutti i macro-settori) degli operatori del comparto prevede il ritorno a condizioni accettabili entro il mese di ottobre. A pesare in particolare sono gli effetti della perdita del volume di affari per la chiusura delle attività, con tempistiche più lunghe rispetto ad altri settori, e </w:t>
      </w:r>
      <w:r>
        <w:rPr>
          <w:rFonts w:ascii="Calibri" w:eastAsia="Calibri" w:hAnsi="Calibri" w:cs="Calibri"/>
          <w:color w:val="000000"/>
          <w:sz w:val="24"/>
          <w:szCs w:val="24"/>
        </w:rPr>
        <w:lastRenderedPageBreak/>
        <w:t>l’inevitabile protrarsi delle limitazioni nei flussi turistici dall’estero, oltre agli effetti depressivi legati al generalizzato calo dei redditi sia sul fronte interno che internazionale</w:t>
      </w:r>
      <w:r w:rsidR="00474FFC">
        <w:rPr>
          <w:rFonts w:ascii="Calibri" w:eastAsia="Calibri" w:hAnsi="Calibri" w:cs="Calibri"/>
          <w:color w:val="000000"/>
          <w:sz w:val="24"/>
          <w:szCs w:val="24"/>
        </w:rPr>
        <w:t>.</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Una situazione analoga, anche se a tinte meno fosche, è quella prospettata dalle imprese del commercio. Una su due teme infatti che gli effetti dell’emergenza Covid-19 della primavera 2020 possano durare per oltre un anno. A fare la differenza anche in questo caso sono soprattutto l’aumento delle difficoltà economiche per molti nuclei familiari, che ne riducono la capacità di spesa, oltre alle modifiche delle abitudini di spesa dei consumatori a seguito delle misure di contenimento. </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Migliori capacità di reazione si evidenziano, invece, per le imprese che operano nei settori della sanità e dei servizi assistenziali privati (con il 63,5% degli operatori che già nel 2020 conta di raggiungere un pieno recupero) e dell’istruzione e dei servizi formativi privati (con il 17,4% delle strutture che traguarda alla fine di ottobre i tempi del recupero). </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Nel manifatturiero sono invece i settori della meccanica, dei settori elettrico ed elettronico e della </w:t>
      </w:r>
      <w:proofErr w:type="spellStart"/>
      <w:r>
        <w:rPr>
          <w:rFonts w:ascii="Calibri" w:eastAsia="Calibri" w:hAnsi="Calibri" w:cs="Calibri"/>
          <w:color w:val="000000"/>
          <w:sz w:val="24"/>
          <w:szCs w:val="24"/>
        </w:rPr>
        <w:t>chimica-farmaceutica</w:t>
      </w:r>
      <w:proofErr w:type="spellEnd"/>
      <w:r>
        <w:rPr>
          <w:rFonts w:ascii="Calibri" w:eastAsia="Calibri" w:hAnsi="Calibri" w:cs="Calibri"/>
          <w:color w:val="000000"/>
          <w:sz w:val="24"/>
          <w:szCs w:val="24"/>
        </w:rPr>
        <w:t xml:space="preserve"> a contare di poter contenere entro la fine del 2020 gli effetti più pesanti delle restrizioni indotte dalla pandemia. </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 imprese del Centro Italia mettono in luce un quadro di attese peggiori sulla capacità di recupero: 130 mila imprese potrebbero arrivare al 2021 con ancora difficoltà nei fatturati. Ma sono complessivamente quasi 173 mila le imprese del Sud e Isole che prevedono di poter recuperare solo nel lungo periodo.</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Mentre con riferimento alla base dimensionale,</w:t>
      </w:r>
      <w:r>
        <w:rPr>
          <w:rFonts w:ascii="Calibri" w:eastAsia="Calibri" w:hAnsi="Calibri" w:cs="Calibri"/>
          <w:color w:val="000000"/>
          <w:sz w:val="22"/>
          <w:szCs w:val="22"/>
        </w:rPr>
        <w:t xml:space="preserve"> </w:t>
      </w:r>
      <w:r>
        <w:rPr>
          <w:rFonts w:ascii="Calibri" w:eastAsia="Calibri" w:hAnsi="Calibri" w:cs="Calibri"/>
          <w:color w:val="000000"/>
          <w:sz w:val="24"/>
          <w:szCs w:val="24"/>
        </w:rPr>
        <w:t>solo le imprese tra 10 e 49 dipendenti esprimono tempistiche sulle prospettive di recupero lievemente migliori della media.</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jc w:val="both"/>
        <w:rPr>
          <w:rFonts w:ascii="Calibri" w:eastAsia="Calibri" w:hAnsi="Calibri" w:cs="Calibri"/>
          <w:color w:val="000000"/>
          <w:sz w:val="24"/>
          <w:szCs w:val="24"/>
        </w:rPr>
      </w:pPr>
      <w:r>
        <w:br w:type="page"/>
      </w:r>
    </w:p>
    <w:tbl>
      <w:tblPr>
        <w:tblStyle w:val="a"/>
        <w:tblW w:w="9885" w:type="dxa"/>
        <w:jc w:val="center"/>
        <w:tblInd w:w="0" w:type="dxa"/>
        <w:tblLayout w:type="fixed"/>
        <w:tblLook w:val="0000" w:firstRow="0" w:lastRow="0" w:firstColumn="0" w:lastColumn="0" w:noHBand="0" w:noVBand="0"/>
      </w:tblPr>
      <w:tblGrid>
        <w:gridCol w:w="4602"/>
        <w:gridCol w:w="5283"/>
      </w:tblGrid>
      <w:tr w:rsidR="00792DBF">
        <w:trPr>
          <w:trHeight w:val="853"/>
          <w:jc w:val="center"/>
        </w:trPr>
        <w:tc>
          <w:tcPr>
            <w:tcW w:w="4602"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Imprese secondo i tempi di recupero previsti per profilo di impresa </w:t>
            </w: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t>
            </w:r>
            <w:proofErr w:type="gramStart"/>
            <w:r>
              <w:rPr>
                <w:rFonts w:ascii="Calibri" w:eastAsia="Calibri" w:hAnsi="Calibri" w:cs="Calibri"/>
                <w:color w:val="000000"/>
                <w:sz w:val="24"/>
                <w:szCs w:val="24"/>
              </w:rPr>
              <w:t>distribuzioni</w:t>
            </w:r>
            <w:proofErr w:type="gramEnd"/>
            <w:r>
              <w:rPr>
                <w:rFonts w:ascii="Calibri" w:eastAsia="Calibri" w:hAnsi="Calibri" w:cs="Calibri"/>
                <w:color w:val="000000"/>
                <w:sz w:val="24"/>
                <w:szCs w:val="24"/>
              </w:rPr>
              <w:t xml:space="preserve"> %)</w:t>
            </w:r>
          </w:p>
        </w:tc>
        <w:tc>
          <w:tcPr>
            <w:tcW w:w="5283"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Imprese che non hanno subito perdite rilevati dall’inizio della crisi per profilo di impresa </w:t>
            </w:r>
          </w:p>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w:t>
            </w:r>
            <w:proofErr w:type="gramStart"/>
            <w:r>
              <w:rPr>
                <w:rFonts w:ascii="Calibri" w:eastAsia="Calibri" w:hAnsi="Calibri" w:cs="Calibri"/>
                <w:color w:val="000000"/>
                <w:sz w:val="24"/>
                <w:szCs w:val="24"/>
              </w:rPr>
              <w:t>quote</w:t>
            </w:r>
            <w:proofErr w:type="gramEnd"/>
            <w:r>
              <w:rPr>
                <w:rFonts w:ascii="Calibri" w:eastAsia="Calibri" w:hAnsi="Calibri" w:cs="Calibri"/>
                <w:color w:val="000000"/>
                <w:sz w:val="24"/>
                <w:szCs w:val="24"/>
              </w:rPr>
              <w:t xml:space="preserve"> %)</w:t>
            </w:r>
          </w:p>
        </w:tc>
      </w:tr>
      <w:tr w:rsidR="00792DBF">
        <w:trPr>
          <w:trHeight w:val="3017"/>
          <w:jc w:val="center"/>
        </w:trPr>
        <w:tc>
          <w:tcPr>
            <w:tcW w:w="4602"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extent cx="2785110" cy="16776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785110" cy="1677670"/>
                          </a:xfrm>
                          <a:prstGeom prst="rect">
                            <a:avLst/>
                          </a:prstGeom>
                          <a:ln/>
                        </pic:spPr>
                      </pic:pic>
                    </a:graphicData>
                  </a:graphic>
                </wp:inline>
              </w:drawing>
            </w:r>
          </w:p>
        </w:tc>
        <w:tc>
          <w:tcPr>
            <w:tcW w:w="5283"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extent cx="3215005" cy="15868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5005" cy="1586865"/>
                          </a:xfrm>
                          <a:prstGeom prst="rect">
                            <a:avLst/>
                          </a:prstGeom>
                          <a:ln/>
                        </pic:spPr>
                      </pic:pic>
                    </a:graphicData>
                  </a:graphic>
                </wp:inline>
              </w:drawing>
            </w:r>
          </w:p>
        </w:tc>
      </w:tr>
    </w:tbl>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Fonte: Unioncamere – ANPAL, Sistema Informativo Excelsior, 2020</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792DBF">
      <w:pPr>
        <w:pBdr>
          <w:top w:val="nil"/>
          <w:left w:val="nil"/>
          <w:bottom w:val="nil"/>
          <w:right w:val="nil"/>
          <w:between w:val="nil"/>
        </w:pBdr>
        <w:jc w:val="both"/>
        <w:rPr>
          <w:rFonts w:ascii="Calibri" w:eastAsia="Calibri" w:hAnsi="Calibri" w:cs="Calibri"/>
          <w:color w:val="000000"/>
          <w:sz w:val="24"/>
          <w:szCs w:val="24"/>
        </w:rPr>
      </w:pPr>
    </w:p>
    <w:tbl>
      <w:tblPr>
        <w:tblStyle w:val="a0"/>
        <w:tblW w:w="10887" w:type="dxa"/>
        <w:jc w:val="center"/>
        <w:tblInd w:w="0" w:type="dxa"/>
        <w:tblLayout w:type="fixed"/>
        <w:tblLook w:val="0000" w:firstRow="0" w:lastRow="0" w:firstColumn="0" w:lastColumn="0" w:noHBand="0" w:noVBand="0"/>
      </w:tblPr>
      <w:tblGrid>
        <w:gridCol w:w="5496"/>
        <w:gridCol w:w="5391"/>
      </w:tblGrid>
      <w:tr w:rsidR="00792DBF">
        <w:trPr>
          <w:trHeight w:val="812"/>
          <w:jc w:val="center"/>
        </w:trPr>
        <w:tc>
          <w:tcPr>
            <w:tcW w:w="5496"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Imprese secondo i tempi di recupero previsti per macro-settore </w:t>
            </w:r>
            <w:r>
              <w:rPr>
                <w:rFonts w:ascii="Calibri" w:eastAsia="Calibri" w:hAnsi="Calibri" w:cs="Calibri"/>
                <w:color w:val="000000"/>
                <w:sz w:val="24"/>
                <w:szCs w:val="24"/>
              </w:rPr>
              <w:t>(distribuzioni %)</w:t>
            </w:r>
          </w:p>
        </w:tc>
        <w:tc>
          <w:tcPr>
            <w:tcW w:w="5391" w:type="dxa"/>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I migliori settori secondo i tempi di recupero previsti dalle imprese </w:t>
            </w:r>
            <w:r>
              <w:rPr>
                <w:rFonts w:ascii="Calibri" w:eastAsia="Calibri" w:hAnsi="Calibri" w:cs="Calibri"/>
                <w:color w:val="000000"/>
                <w:sz w:val="24"/>
                <w:szCs w:val="24"/>
              </w:rPr>
              <w:t>(distribuzioni %)</w:t>
            </w:r>
          </w:p>
        </w:tc>
      </w:tr>
      <w:tr w:rsidR="00792DBF">
        <w:trPr>
          <w:trHeight w:val="2873"/>
          <w:jc w:val="center"/>
        </w:trPr>
        <w:tc>
          <w:tcPr>
            <w:tcW w:w="5496" w:type="dxa"/>
            <w:tcBorders>
              <w:right w:val="dotted" w:sz="4" w:space="0" w:color="000000"/>
            </w:tcBorders>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extent cx="3352800" cy="201041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352800" cy="2010410"/>
                          </a:xfrm>
                          <a:prstGeom prst="rect">
                            <a:avLst/>
                          </a:prstGeom>
                          <a:ln/>
                        </pic:spPr>
                      </pic:pic>
                    </a:graphicData>
                  </a:graphic>
                </wp:inline>
              </w:drawing>
            </w:r>
          </w:p>
        </w:tc>
        <w:tc>
          <w:tcPr>
            <w:tcW w:w="5391" w:type="dxa"/>
            <w:tcBorders>
              <w:left w:val="dotted" w:sz="4" w:space="0" w:color="000000"/>
            </w:tcBorders>
          </w:tcPr>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extent cx="3286125" cy="20777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86125" cy="2077720"/>
                          </a:xfrm>
                          <a:prstGeom prst="rect">
                            <a:avLst/>
                          </a:prstGeom>
                          <a:ln/>
                        </pic:spPr>
                      </pic:pic>
                    </a:graphicData>
                  </a:graphic>
                </wp:inline>
              </w:drawing>
            </w:r>
          </w:p>
        </w:tc>
      </w:tr>
    </w:tbl>
    <w:p w:rsidR="00792DBF" w:rsidRDefault="00D512CC">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Fonte: Unioncamere – ANPAL, Sistema Informativo Excelsior, 2020</w:t>
      </w:r>
    </w:p>
    <w:p w:rsidR="00792DBF" w:rsidRDefault="00792DBF">
      <w:pPr>
        <w:pBdr>
          <w:top w:val="nil"/>
          <w:left w:val="nil"/>
          <w:bottom w:val="nil"/>
          <w:right w:val="nil"/>
          <w:between w:val="nil"/>
        </w:pBdr>
        <w:jc w:val="both"/>
        <w:rPr>
          <w:rFonts w:ascii="Calibri" w:eastAsia="Calibri" w:hAnsi="Calibri" w:cs="Calibri"/>
          <w:color w:val="000000"/>
          <w:sz w:val="24"/>
          <w:szCs w:val="24"/>
        </w:rPr>
      </w:pPr>
    </w:p>
    <w:p w:rsidR="00792DBF" w:rsidRDefault="00D512CC">
      <w:pPr>
        <w:pBdr>
          <w:top w:val="nil"/>
          <w:left w:val="nil"/>
          <w:bottom w:val="nil"/>
          <w:right w:val="nil"/>
          <w:between w:val="nil"/>
        </w:pBdr>
        <w:spacing w:after="120"/>
        <w:ind w:left="-142"/>
        <w:jc w:val="both"/>
        <w:rPr>
          <w:color w:val="000000"/>
          <w:sz w:val="24"/>
          <w:szCs w:val="24"/>
        </w:rPr>
      </w:pPr>
      <w:r>
        <w:rPr>
          <w:noProof/>
          <w:color w:val="000000"/>
          <w:sz w:val="24"/>
          <w:szCs w:val="24"/>
        </w:rPr>
        <w:drawing>
          <wp:inline distT="0" distB="0" distL="114300" distR="114300">
            <wp:extent cx="6363335" cy="239014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363335" cy="2390140"/>
                    </a:xfrm>
                    <a:prstGeom prst="rect">
                      <a:avLst/>
                    </a:prstGeom>
                    <a:ln/>
                  </pic:spPr>
                </pic:pic>
              </a:graphicData>
            </a:graphic>
          </wp:inline>
        </w:drawing>
      </w:r>
    </w:p>
    <w:p w:rsidR="00792DBF" w:rsidRDefault="00D512CC" w:rsidP="00630802">
      <w:pPr>
        <w:pBdr>
          <w:top w:val="nil"/>
          <w:left w:val="nil"/>
          <w:bottom w:val="nil"/>
          <w:right w:val="nil"/>
          <w:between w:val="nil"/>
        </w:pBdr>
        <w:spacing w:after="120"/>
        <w:jc w:val="both"/>
        <w:rPr>
          <w:rFonts w:ascii="Calibri" w:eastAsia="Calibri" w:hAnsi="Calibri" w:cs="Calibri"/>
          <w:color w:val="000000"/>
          <w:sz w:val="24"/>
          <w:szCs w:val="24"/>
        </w:rPr>
      </w:pPr>
      <w:r>
        <w:rPr>
          <w:color w:val="000000"/>
          <w:sz w:val="18"/>
          <w:szCs w:val="18"/>
        </w:rPr>
        <w:t xml:space="preserve">Fonte: Unioncamere – ANPAL, Sistema Informativo </w:t>
      </w:r>
      <w:proofErr w:type="spellStart"/>
      <w:r>
        <w:rPr>
          <w:color w:val="000000"/>
          <w:sz w:val="18"/>
          <w:szCs w:val="18"/>
        </w:rPr>
        <w:t>Excelsior</w:t>
      </w:r>
      <w:proofErr w:type="spellEnd"/>
      <w:r>
        <w:rPr>
          <w:color w:val="000000"/>
          <w:sz w:val="18"/>
          <w:szCs w:val="18"/>
        </w:rPr>
        <w:t>, 2020</w:t>
      </w:r>
      <w:bookmarkStart w:id="1" w:name="_gjdgxs" w:colFirst="0" w:colLast="0"/>
      <w:bookmarkEnd w:id="1"/>
    </w:p>
    <w:sectPr w:rsidR="00792DBF">
      <w:headerReference w:type="default" r:id="rId12"/>
      <w:footerReference w:type="default" r:id="rId13"/>
      <w:pgSz w:w="11906" w:h="16838"/>
      <w:pgMar w:top="1134" w:right="1559" w:bottom="1134" w:left="1559" w:header="720" w:footer="6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F9" w:rsidRDefault="00A34FF9">
      <w:r>
        <w:separator/>
      </w:r>
    </w:p>
  </w:endnote>
  <w:endnote w:type="continuationSeparator" w:id="0">
    <w:p w:rsidR="00A34FF9" w:rsidRDefault="00A3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sa">
    <w:altName w:val="Times New Roman"/>
    <w:charset w:val="00"/>
    <w:family w:val="auto"/>
    <w:pitch w:val="default"/>
  </w:font>
  <w:font w:name="Rasa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BF" w:rsidRDefault="00792DBF">
    <w:pPr>
      <w:widowControl w:val="0"/>
      <w:pBdr>
        <w:top w:val="nil"/>
        <w:left w:val="nil"/>
        <w:bottom w:val="nil"/>
        <w:right w:val="nil"/>
        <w:between w:val="nil"/>
      </w:pBdr>
      <w:spacing w:line="276" w:lineRule="auto"/>
      <w:rPr>
        <w:color w:val="000000"/>
        <w:sz w:val="24"/>
        <w:szCs w:val="24"/>
      </w:rPr>
    </w:pPr>
  </w:p>
  <w:tbl>
    <w:tblPr>
      <w:tblStyle w:val="a1"/>
      <w:tblW w:w="9356" w:type="dxa"/>
      <w:tblInd w:w="0" w:type="dxa"/>
      <w:tblLayout w:type="fixed"/>
      <w:tblLook w:val="0000" w:firstRow="0" w:lastRow="0" w:firstColumn="0" w:lastColumn="0" w:noHBand="0" w:noVBand="0"/>
    </w:tblPr>
    <w:tblGrid>
      <w:gridCol w:w="4678"/>
      <w:gridCol w:w="4678"/>
    </w:tblGrid>
    <w:tr w:rsidR="00792DBF">
      <w:trPr>
        <w:trHeight w:val="464"/>
      </w:trPr>
      <w:tc>
        <w:tcPr>
          <w:tcW w:w="4678" w:type="dxa"/>
          <w:vAlign w:val="center"/>
        </w:tcPr>
        <w:p w:rsidR="00792DBF" w:rsidRDefault="00D512CC">
          <w:pPr>
            <w:pBdr>
              <w:top w:val="nil"/>
              <w:left w:val="nil"/>
              <w:bottom w:val="nil"/>
              <w:right w:val="nil"/>
              <w:between w:val="nil"/>
            </w:pBdr>
            <w:tabs>
              <w:tab w:val="center" w:pos="4819"/>
              <w:tab w:val="right" w:pos="9638"/>
            </w:tabs>
            <w:rPr>
              <w:rFonts w:ascii="Rasa Light" w:eastAsia="Rasa Light" w:hAnsi="Rasa Light" w:cs="Rasa Light"/>
              <w:color w:val="071D49"/>
            </w:rPr>
          </w:pPr>
          <w:r>
            <w:rPr>
              <w:rFonts w:ascii="Rasa Light" w:eastAsia="Rasa Light" w:hAnsi="Rasa Light" w:cs="Rasa Light"/>
              <w:b/>
              <w:color w:val="071D49"/>
            </w:rPr>
            <w:t>Per ulteriori informazioni:</w:t>
          </w:r>
        </w:p>
        <w:p w:rsidR="00792DBF" w:rsidRDefault="00D512CC">
          <w:pPr>
            <w:pBdr>
              <w:top w:val="nil"/>
              <w:left w:val="nil"/>
              <w:bottom w:val="nil"/>
              <w:right w:val="nil"/>
              <w:between w:val="nil"/>
            </w:pBdr>
            <w:tabs>
              <w:tab w:val="center" w:pos="4819"/>
              <w:tab w:val="right" w:pos="9638"/>
            </w:tabs>
            <w:rPr>
              <w:rFonts w:ascii="Calibri" w:eastAsia="Calibri" w:hAnsi="Calibri" w:cs="Calibri"/>
              <w:color w:val="000000"/>
              <w:sz w:val="24"/>
              <w:szCs w:val="24"/>
            </w:rPr>
          </w:pPr>
          <w:r>
            <w:rPr>
              <w:rFonts w:ascii="Calibri" w:eastAsia="Calibri" w:hAnsi="Calibri" w:cs="Calibri"/>
              <w:color w:val="071D49"/>
            </w:rPr>
            <w:t>331.6098963</w:t>
          </w:r>
        </w:p>
      </w:tc>
      <w:bookmarkStart w:id="2" w:name="_30j0zll" w:colFirst="0" w:colLast="0"/>
      <w:bookmarkEnd w:id="2"/>
      <w:tc>
        <w:tcPr>
          <w:tcW w:w="4678" w:type="dxa"/>
          <w:vAlign w:val="center"/>
        </w:tcPr>
        <w:p w:rsidR="00792DBF" w:rsidRDefault="00D512CC">
          <w:pPr>
            <w:pBdr>
              <w:top w:val="nil"/>
              <w:left w:val="nil"/>
              <w:bottom w:val="nil"/>
              <w:right w:val="nil"/>
              <w:between w:val="nil"/>
            </w:pBdr>
            <w:jc w:val="right"/>
            <w:rPr>
              <w:rFonts w:ascii="Calibri" w:eastAsia="Calibri" w:hAnsi="Calibri" w:cs="Calibri"/>
              <w:color w:val="000000"/>
              <w:sz w:val="24"/>
              <w:szCs w:val="24"/>
            </w:rPr>
          </w:pPr>
          <w:r>
            <w:fldChar w:fldCharType="begin"/>
          </w:r>
          <w:r>
            <w:instrText xml:space="preserve"> HYPERLINK "http://www.unioncamere.gov.it" \h </w:instrText>
          </w:r>
          <w:r>
            <w:fldChar w:fldCharType="separate"/>
          </w:r>
          <w:r>
            <w:rPr>
              <w:rFonts w:ascii="Calibri" w:eastAsia="Calibri" w:hAnsi="Calibri" w:cs="Calibri"/>
              <w:b/>
              <w:noProof/>
              <w:color w:val="000000"/>
              <w:sz w:val="24"/>
              <w:szCs w:val="24"/>
            </w:rPr>
            <w:drawing>
              <wp:inline distT="0" distB="0" distL="114300" distR="114300">
                <wp:extent cx="215900" cy="2159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15900" cy="215900"/>
                        </a:xfrm>
                        <a:prstGeom prst="rect">
                          <a:avLst/>
                        </a:prstGeom>
                        <a:ln/>
                      </pic:spPr>
                    </pic:pic>
                  </a:graphicData>
                </a:graphic>
              </wp:inline>
            </w:drawing>
          </w:r>
          <w:r>
            <w:rPr>
              <w:rFonts w:ascii="Calibri" w:eastAsia="Calibri" w:hAnsi="Calibri" w:cs="Calibri"/>
              <w:b/>
              <w:noProof/>
              <w:color w:val="000000"/>
              <w:sz w:val="24"/>
              <w:szCs w:val="24"/>
            </w:rPr>
            <w:fldChar w:fldCharType="end"/>
          </w:r>
          <w:r>
            <w:rPr>
              <w:rFonts w:ascii="Calibri" w:eastAsia="Calibri" w:hAnsi="Calibri" w:cs="Calibri"/>
              <w:b/>
              <w:color w:val="000000"/>
              <w:sz w:val="24"/>
              <w:szCs w:val="24"/>
            </w:rPr>
            <w:t xml:space="preserve"> </w:t>
          </w:r>
          <w:hyperlink r:id="rId2">
            <w:r>
              <w:rPr>
                <w:rFonts w:ascii="Calibri" w:eastAsia="Calibri" w:hAnsi="Calibri" w:cs="Calibri"/>
                <w:b/>
                <w:noProof/>
                <w:color w:val="000000"/>
                <w:sz w:val="24"/>
                <w:szCs w:val="24"/>
              </w:rPr>
              <w:drawing>
                <wp:inline distT="0" distB="0" distL="114300" distR="114300">
                  <wp:extent cx="222250" cy="22225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222250" cy="222250"/>
                          </a:xfrm>
                          <a:prstGeom prst="rect">
                            <a:avLst/>
                          </a:prstGeom>
                          <a:ln/>
                        </pic:spPr>
                      </pic:pic>
                    </a:graphicData>
                  </a:graphic>
                </wp:inline>
              </w:drawing>
            </w:r>
          </w:hyperlink>
          <w:r>
            <w:rPr>
              <w:rFonts w:ascii="Calibri" w:eastAsia="Calibri" w:hAnsi="Calibri" w:cs="Calibri"/>
              <w:b/>
              <w:color w:val="000000"/>
              <w:sz w:val="24"/>
              <w:szCs w:val="24"/>
            </w:rPr>
            <w:t xml:space="preserve"> </w:t>
          </w:r>
          <w:hyperlink r:id="rId4">
            <w:r>
              <w:rPr>
                <w:noProof/>
                <w:color w:val="000000"/>
                <w:sz w:val="24"/>
                <w:szCs w:val="24"/>
              </w:rPr>
              <w:drawing>
                <wp:inline distT="0" distB="0" distL="114300" distR="114300">
                  <wp:extent cx="225425" cy="224790"/>
                  <wp:effectExtent l="0" t="0" r="0" b="0"/>
                  <wp:docPr id="8" name="image8.png" descr="logo-facebook-piccolo-andalo"/>
                  <wp:cNvGraphicFramePr/>
                  <a:graphic xmlns:a="http://schemas.openxmlformats.org/drawingml/2006/main">
                    <a:graphicData uri="http://schemas.openxmlformats.org/drawingml/2006/picture">
                      <pic:pic xmlns:pic="http://schemas.openxmlformats.org/drawingml/2006/picture">
                        <pic:nvPicPr>
                          <pic:cNvPr id="0" name="image8.png" descr="logo-facebook-piccolo-andalo"/>
                          <pic:cNvPicPr preferRelativeResize="0"/>
                        </pic:nvPicPr>
                        <pic:blipFill>
                          <a:blip r:embed="rId5"/>
                          <a:srcRect/>
                          <a:stretch>
                            <a:fillRect/>
                          </a:stretch>
                        </pic:blipFill>
                        <pic:spPr>
                          <a:xfrm>
                            <a:off x="0" y="0"/>
                            <a:ext cx="225425" cy="224790"/>
                          </a:xfrm>
                          <a:prstGeom prst="rect">
                            <a:avLst/>
                          </a:prstGeom>
                          <a:ln/>
                        </pic:spPr>
                      </pic:pic>
                    </a:graphicData>
                  </a:graphic>
                </wp:inline>
              </w:drawing>
            </w:r>
          </w:hyperlink>
          <w:hyperlink r:id="rId6">
            <w:r>
              <w:rPr>
                <w:rFonts w:ascii="Calibri" w:eastAsia="Calibri" w:hAnsi="Calibri" w:cs="Calibri"/>
                <w:noProof/>
                <w:color w:val="000000"/>
                <w:sz w:val="24"/>
                <w:szCs w:val="24"/>
              </w:rPr>
              <w:drawing>
                <wp:inline distT="0" distB="0" distL="114300" distR="114300">
                  <wp:extent cx="398780" cy="22225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398780" cy="222250"/>
                          </a:xfrm>
                          <a:prstGeom prst="rect">
                            <a:avLst/>
                          </a:prstGeom>
                          <a:ln/>
                        </pic:spPr>
                      </pic:pic>
                    </a:graphicData>
                  </a:graphic>
                </wp:inline>
              </w:drawing>
            </w:r>
          </w:hyperlink>
          <w:hyperlink r:id="rId8">
            <w:r>
              <w:rPr>
                <w:rFonts w:ascii="Calibri" w:eastAsia="Calibri" w:hAnsi="Calibri" w:cs="Calibri"/>
                <w:noProof/>
                <w:color w:val="000000"/>
                <w:sz w:val="24"/>
                <w:szCs w:val="24"/>
              </w:rPr>
              <w:drawing>
                <wp:inline distT="0" distB="0" distL="114300" distR="114300">
                  <wp:extent cx="425450" cy="22796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25450" cy="227965"/>
                          </a:xfrm>
                          <a:prstGeom prst="rect">
                            <a:avLst/>
                          </a:prstGeom>
                          <a:ln/>
                        </pic:spPr>
                      </pic:pic>
                    </a:graphicData>
                  </a:graphic>
                </wp:inline>
              </w:drawing>
            </w:r>
          </w:hyperlink>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 </w:t>
          </w:r>
        </w:p>
      </w:tc>
    </w:tr>
  </w:tbl>
  <w:p w:rsidR="00792DBF" w:rsidRDefault="00792DBF">
    <w:pPr>
      <w:pBdr>
        <w:top w:val="nil"/>
        <w:left w:val="nil"/>
        <w:bottom w:val="nil"/>
        <w:right w:val="nil"/>
        <w:between w:val="nil"/>
      </w:pBdr>
      <w:tabs>
        <w:tab w:val="center" w:pos="4819"/>
        <w:tab w:val="right" w:pos="9638"/>
      </w:tabs>
      <w:jc w:val="both"/>
      <w:rPr>
        <w:color w:val="000000"/>
        <w:sz w:val="24"/>
        <w:szCs w:val="24"/>
      </w:rPr>
    </w:pPr>
  </w:p>
  <w:p w:rsidR="00792DBF" w:rsidRDefault="00792DBF">
    <w:pPr>
      <w:pBdr>
        <w:top w:val="nil"/>
        <w:left w:val="nil"/>
        <w:bottom w:val="nil"/>
        <w:right w:val="nil"/>
        <w:between w:val="nil"/>
      </w:pBdr>
      <w:tabs>
        <w:tab w:val="center" w:pos="4819"/>
        <w:tab w:val="right" w:pos="9638"/>
      </w:tabs>
      <w:jc w:val="cente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F9" w:rsidRDefault="00A34FF9">
      <w:r>
        <w:separator/>
      </w:r>
    </w:p>
  </w:footnote>
  <w:footnote w:type="continuationSeparator" w:id="0">
    <w:p w:rsidR="00A34FF9" w:rsidRDefault="00A3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BF" w:rsidRDefault="00792DBF">
    <w:pPr>
      <w:pBdr>
        <w:top w:val="nil"/>
        <w:left w:val="nil"/>
        <w:bottom w:val="nil"/>
        <w:right w:val="nil"/>
        <w:between w:val="nil"/>
      </w:pBdr>
      <w:tabs>
        <w:tab w:val="center" w:pos="4819"/>
        <w:tab w:val="right" w:pos="9638"/>
      </w:tabs>
      <w:jc w:val="both"/>
      <w:rPr>
        <w:color w:val="000000"/>
        <w:sz w:val="24"/>
        <w:szCs w:val="24"/>
      </w:rPr>
    </w:pPr>
  </w:p>
  <w:p w:rsidR="00792DBF" w:rsidRDefault="00792DBF">
    <w:pPr>
      <w:pBdr>
        <w:top w:val="nil"/>
        <w:left w:val="nil"/>
        <w:bottom w:val="nil"/>
        <w:right w:val="nil"/>
        <w:between w:val="nil"/>
      </w:pBdr>
      <w:tabs>
        <w:tab w:val="center" w:pos="4819"/>
        <w:tab w:val="right" w:pos="9638"/>
      </w:tabs>
      <w:jc w:val="both"/>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BF"/>
    <w:rsid w:val="00474FFC"/>
    <w:rsid w:val="004A3EFE"/>
    <w:rsid w:val="00630802"/>
    <w:rsid w:val="00792DBF"/>
    <w:rsid w:val="00977FF9"/>
    <w:rsid w:val="00A0025A"/>
    <w:rsid w:val="00A34FF9"/>
    <w:rsid w:val="00BF230B"/>
    <w:rsid w:val="00D512CC"/>
    <w:rsid w:val="00DA396F"/>
    <w:rsid w:val="00DD4462"/>
    <w:rsid w:val="00E72131"/>
    <w:rsid w:val="00EA0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75791-9FE3-4EE0-9B7F-3784C521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EA08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user/pressroomunioncamere?feature=results_main" TargetMode="External"/><Relationship Id="rId3" Type="http://schemas.openxmlformats.org/officeDocument/2006/relationships/image" Target="media/image8.png"/><Relationship Id="rId7" Type="http://schemas.openxmlformats.org/officeDocument/2006/relationships/image" Target="media/image10.png"/><Relationship Id="rId2" Type="http://schemas.openxmlformats.org/officeDocument/2006/relationships/hyperlink" Target="mailto:ufficio.stampa@unioncamere.it" TargetMode="External"/><Relationship Id="rId1" Type="http://schemas.openxmlformats.org/officeDocument/2006/relationships/image" Target="media/image7.png"/><Relationship Id="rId6" Type="http://schemas.openxmlformats.org/officeDocument/2006/relationships/hyperlink" Target="https://twitter.com/unioncamere" TargetMode="External"/><Relationship Id="rId5" Type="http://schemas.openxmlformats.org/officeDocument/2006/relationships/image" Target="media/image9.png"/><Relationship Id="rId4" Type="http://schemas.openxmlformats.org/officeDocument/2006/relationships/hyperlink" Target="http://www.facebook.com/Unioncamere" TargetMode="External"/><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dc:creator>
  <cp:lastModifiedBy>Account Microsoft</cp:lastModifiedBy>
  <cp:revision>2</cp:revision>
  <dcterms:created xsi:type="dcterms:W3CDTF">2020-08-07T07:38:00Z</dcterms:created>
  <dcterms:modified xsi:type="dcterms:W3CDTF">2020-08-07T07:38:00Z</dcterms:modified>
</cp:coreProperties>
</file>