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60A5" w14:textId="77777777" w:rsidR="002A71BA" w:rsidRDefault="002A71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87B6BB1" w14:textId="77777777" w:rsidR="002A71BA" w:rsidRDefault="002A71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1DF1F4C" w14:textId="77777777" w:rsidR="002A71BA" w:rsidRDefault="002A71BA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  <w:sz w:val="24"/>
          <w:szCs w:val="24"/>
        </w:rPr>
      </w:pPr>
    </w:p>
    <w:p w14:paraId="07C070B8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rPr>
          <w:rFonts w:ascii="Rasa" w:eastAsia="Rasa" w:hAnsi="Rasa" w:cs="Rasa"/>
          <w:color w:val="071D49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8213215" wp14:editId="3C8B2FFD">
            <wp:simplePos x="0" y="0"/>
            <wp:positionH relativeFrom="column">
              <wp:posOffset>-982344</wp:posOffset>
            </wp:positionH>
            <wp:positionV relativeFrom="paragraph">
              <wp:posOffset>-1395094</wp:posOffset>
            </wp:positionV>
            <wp:extent cx="7578090" cy="1554480"/>
            <wp:effectExtent l="0" t="0" r="0" b="0"/>
            <wp:wrapSquare wrapText="bothSides" distT="0" distB="0" distL="0" distR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B0E89B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Rasa" w:eastAsia="Rasa" w:hAnsi="Rasa" w:cs="Rasa"/>
          <w:color w:val="071D49"/>
          <w:sz w:val="24"/>
          <w:szCs w:val="24"/>
        </w:rPr>
        <w:t>Comunicato stampa</w:t>
      </w:r>
    </w:p>
    <w:p w14:paraId="29D87121" w14:textId="77777777" w:rsidR="002A71BA" w:rsidRDefault="002A71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6F78CB56" w14:textId="77777777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32"/>
          <w:szCs w:val="32"/>
        </w:rPr>
      </w:pPr>
      <w:r w:rsidRPr="00B400E5">
        <w:rPr>
          <w:rFonts w:ascii="Calibri" w:eastAsia="Calibri" w:hAnsi="Calibri" w:cs="Calibri"/>
          <w:b/>
          <w:sz w:val="32"/>
          <w:szCs w:val="32"/>
        </w:rPr>
        <w:t xml:space="preserve">Unioncamere: 44mila nuove imprese in meno durante il </w:t>
      </w:r>
      <w:proofErr w:type="spellStart"/>
      <w:proofErr w:type="gramStart"/>
      <w:r w:rsidRPr="00B400E5">
        <w:rPr>
          <w:rFonts w:ascii="Calibri" w:eastAsia="Calibri" w:hAnsi="Calibri" w:cs="Calibri"/>
          <w:b/>
          <w:sz w:val="32"/>
          <w:szCs w:val="32"/>
        </w:rPr>
        <w:t>lockdown</w:t>
      </w:r>
      <w:proofErr w:type="spellEnd"/>
      <w:proofErr w:type="gramEnd"/>
    </w:p>
    <w:p w14:paraId="081DA5F8" w14:textId="77777777" w:rsidR="002A71BA" w:rsidRPr="00B400E5" w:rsidRDefault="002A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32"/>
          <w:szCs w:val="32"/>
        </w:rPr>
      </w:pPr>
    </w:p>
    <w:p w14:paraId="7474DB28" w14:textId="77777777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B400E5">
        <w:rPr>
          <w:rFonts w:ascii="Calibri" w:eastAsia="Calibri" w:hAnsi="Calibri" w:cs="Calibri"/>
          <w:b/>
          <w:sz w:val="32"/>
          <w:szCs w:val="32"/>
        </w:rPr>
        <w:t xml:space="preserve">Sangalli, i </w:t>
      </w:r>
      <w:proofErr w:type="gramStart"/>
      <w:r w:rsidRPr="00B400E5">
        <w:rPr>
          <w:rFonts w:ascii="Calibri" w:eastAsia="Calibri" w:hAnsi="Calibri" w:cs="Calibri"/>
          <w:b/>
          <w:sz w:val="32"/>
          <w:szCs w:val="32"/>
        </w:rPr>
        <w:t>10</w:t>
      </w:r>
      <w:proofErr w:type="gramEnd"/>
      <w:r w:rsidRPr="00B400E5">
        <w:rPr>
          <w:rFonts w:ascii="Calibri" w:eastAsia="Calibri" w:hAnsi="Calibri" w:cs="Calibri"/>
          <w:b/>
          <w:sz w:val="32"/>
          <w:szCs w:val="32"/>
        </w:rPr>
        <w:t xml:space="preserve"> punti strategici per uscire dalla crisi</w:t>
      </w:r>
    </w:p>
    <w:p w14:paraId="420872FC" w14:textId="77777777" w:rsidR="002A71BA" w:rsidRPr="00B400E5" w:rsidRDefault="002A71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32"/>
          <w:szCs w:val="32"/>
        </w:rPr>
      </w:pPr>
    </w:p>
    <w:p w14:paraId="59300549" w14:textId="659AB832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B400E5">
        <w:rPr>
          <w:rFonts w:ascii="Calibri" w:eastAsia="Calibri" w:hAnsi="Calibri" w:cs="Calibri"/>
          <w:sz w:val="24"/>
          <w:szCs w:val="24"/>
        </w:rPr>
        <w:t xml:space="preserve">Roma, 25 giugno 2020 – Sono già 44mila in meno le nuove imprese nel nostro Paese a causa del </w:t>
      </w:r>
      <w:proofErr w:type="spellStart"/>
      <w:r w:rsidRPr="00B400E5">
        <w:rPr>
          <w:rFonts w:ascii="Calibri" w:eastAsia="Calibri" w:hAnsi="Calibri" w:cs="Calibri"/>
          <w:sz w:val="24"/>
          <w:szCs w:val="24"/>
        </w:rPr>
        <w:t>lockdown</w:t>
      </w:r>
      <w:proofErr w:type="spellEnd"/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. Il dato è destinato ad aumentare nel corso dell’anno, con lo scotto maggiore che verrà pagato soprattutto dalle regioni del Nord. Lo rileva </w:t>
      </w:r>
      <w:r w:rsidRPr="00B400E5">
        <w:rPr>
          <w:rFonts w:ascii="Calibri" w:eastAsia="Calibri" w:hAnsi="Calibri" w:cs="Calibri"/>
          <w:b/>
          <w:sz w:val="24"/>
          <w:szCs w:val="24"/>
        </w:rPr>
        <w:t>Unioncamere</w:t>
      </w:r>
      <w:r w:rsidRPr="00B400E5">
        <w:rPr>
          <w:rFonts w:ascii="Calibri" w:eastAsia="Calibri" w:hAnsi="Calibri" w:cs="Calibri"/>
          <w:sz w:val="24"/>
          <w:szCs w:val="24"/>
        </w:rPr>
        <w:t>, che ha tenuto oggi la sua Assemblea annuale dove ha lanciato una proposta in dieci punti al Governo</w:t>
      </w:r>
      <w:r w:rsidR="00165648" w:rsidRPr="00B400E5">
        <w:rPr>
          <w:rFonts w:ascii="Calibri" w:eastAsia="Calibri" w:hAnsi="Calibri" w:cs="Calibri"/>
          <w:sz w:val="24"/>
          <w:szCs w:val="24"/>
        </w:rPr>
        <w:t>,</w:t>
      </w:r>
      <w:r w:rsidRPr="00B400E5">
        <w:rPr>
          <w:rFonts w:ascii="Calibri" w:eastAsia="Calibri" w:hAnsi="Calibri" w:cs="Calibri"/>
          <w:sz w:val="24"/>
          <w:szCs w:val="24"/>
        </w:rPr>
        <w:t xml:space="preserve"> rappresentato dal Ministro dello Sviluppo economico, </w:t>
      </w:r>
      <w:r w:rsidRPr="00B400E5">
        <w:rPr>
          <w:rFonts w:ascii="Calibri" w:eastAsia="Calibri" w:hAnsi="Calibri" w:cs="Calibri"/>
          <w:b/>
          <w:sz w:val="24"/>
          <w:szCs w:val="24"/>
        </w:rPr>
        <w:t xml:space="preserve">Stefano </w:t>
      </w:r>
      <w:proofErr w:type="spellStart"/>
      <w:r w:rsidRPr="00B400E5">
        <w:rPr>
          <w:rFonts w:ascii="Calibri" w:eastAsia="Calibri" w:hAnsi="Calibri" w:cs="Calibri"/>
          <w:b/>
          <w:sz w:val="24"/>
          <w:szCs w:val="24"/>
        </w:rPr>
        <w:t>Patuanelli</w:t>
      </w:r>
      <w:proofErr w:type="spellEnd"/>
      <w:r w:rsidRPr="00B400E5">
        <w:rPr>
          <w:rFonts w:ascii="Calibri" w:eastAsia="Calibri" w:hAnsi="Calibri" w:cs="Calibri"/>
          <w:sz w:val="24"/>
          <w:szCs w:val="24"/>
        </w:rPr>
        <w:t>. </w:t>
      </w:r>
    </w:p>
    <w:p w14:paraId="2247B643" w14:textId="77777777" w:rsidR="002A71BA" w:rsidRPr="00B400E5" w:rsidRDefault="002A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427DBAB" w14:textId="77777777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B400E5">
        <w:rPr>
          <w:rFonts w:ascii="Calibri" w:eastAsia="Calibri" w:hAnsi="Calibri" w:cs="Calibri"/>
          <w:sz w:val="24"/>
          <w:szCs w:val="24"/>
        </w:rPr>
        <w:t xml:space="preserve">Le Camere di commercio indicano dieci punti chiave, ha detto il Presidente di </w:t>
      </w:r>
      <w:r w:rsidRPr="00B400E5">
        <w:rPr>
          <w:rFonts w:ascii="Calibri" w:eastAsia="Calibri" w:hAnsi="Calibri" w:cs="Calibri"/>
          <w:b/>
          <w:sz w:val="24"/>
          <w:szCs w:val="24"/>
        </w:rPr>
        <w:t>Unioncamere</w:t>
      </w:r>
      <w:r w:rsidRPr="00B400E5">
        <w:rPr>
          <w:rFonts w:ascii="Calibri" w:eastAsia="Calibri" w:hAnsi="Calibri" w:cs="Calibri"/>
          <w:sz w:val="24"/>
          <w:szCs w:val="24"/>
        </w:rPr>
        <w:t xml:space="preserve">, </w:t>
      </w:r>
      <w:r w:rsidRPr="00B400E5">
        <w:rPr>
          <w:rFonts w:ascii="Calibri" w:eastAsia="Calibri" w:hAnsi="Calibri" w:cs="Calibri"/>
          <w:b/>
          <w:sz w:val="24"/>
          <w:szCs w:val="24"/>
        </w:rPr>
        <w:t>Carlo Sangalli</w:t>
      </w:r>
      <w:r w:rsidRPr="00B400E5">
        <w:rPr>
          <w:rFonts w:ascii="Calibri" w:eastAsia="Calibri" w:hAnsi="Calibri" w:cs="Calibri"/>
          <w:sz w:val="24"/>
          <w:szCs w:val="24"/>
        </w:rPr>
        <w:t xml:space="preserve"> nel corso dell'Assemblea, per rilanciare l'Italia. "</w:t>
      </w:r>
      <w:r w:rsidRPr="00B400E5">
        <w:rPr>
          <w:rFonts w:ascii="Calibri" w:eastAsia="Calibri" w:hAnsi="Calibri" w:cs="Calibri"/>
          <w:i/>
          <w:sz w:val="24"/>
          <w:szCs w:val="24"/>
        </w:rPr>
        <w:t>Si tratta</w:t>
      </w:r>
      <w:r w:rsidRPr="00B400E5">
        <w:rPr>
          <w:rFonts w:ascii="Calibri" w:eastAsia="Calibri" w:hAnsi="Calibri" w:cs="Calibri"/>
          <w:sz w:val="24"/>
          <w:szCs w:val="24"/>
        </w:rPr>
        <w:t xml:space="preserve"> - ha spiegato Sangalli - </w:t>
      </w:r>
      <w:r w:rsidRPr="00B400E5">
        <w:rPr>
          <w:rFonts w:ascii="Calibri" w:eastAsia="Calibri" w:hAnsi="Calibri" w:cs="Calibri"/>
          <w:i/>
          <w:sz w:val="24"/>
          <w:szCs w:val="24"/>
        </w:rPr>
        <w:t>di agire su digitalizzazione e tecnologie 4.0, infrastrutture, semplificazione, giustizia civile e mediazione, internazionalizzazione, turismo, nuove imprese e giovani, sostenibilità, formazione, dotazione finanziaria e irrobustimento organizzativo delle imprese.</w:t>
      </w:r>
      <w:proofErr w:type="gramStart"/>
      <w:r w:rsidRPr="00B400E5">
        <w:rPr>
          <w:rFonts w:ascii="Calibri" w:eastAsia="Calibri" w:hAnsi="Calibri" w:cs="Calibri"/>
          <w:i/>
          <w:sz w:val="24"/>
          <w:szCs w:val="24"/>
        </w:rPr>
        <w:t> Agire su questi punti è la vera priorità del Paese</w:t>
      </w:r>
      <w:r w:rsidRPr="00B400E5">
        <w:rPr>
          <w:rFonts w:ascii="Calibri" w:eastAsia="Calibri" w:hAnsi="Calibri" w:cs="Calibri"/>
          <w:sz w:val="24"/>
          <w:szCs w:val="24"/>
        </w:rPr>
        <w:t>"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>.  “</w:t>
      </w:r>
      <w:r w:rsidRPr="00B400E5">
        <w:rPr>
          <w:rFonts w:ascii="Calibri" w:eastAsia="Calibri" w:hAnsi="Calibri" w:cs="Calibri"/>
          <w:i/>
          <w:sz w:val="24"/>
          <w:szCs w:val="24"/>
        </w:rPr>
        <w:t xml:space="preserve">Spingere l’acceleratore sulla digitalizzazione delle imprese e sull’adozione delle tecnologie 4.0 – 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>sottolinea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 il presidente di Unioncamere</w:t>
      </w:r>
      <w:r w:rsidRPr="00B400E5">
        <w:rPr>
          <w:rFonts w:ascii="Calibri" w:eastAsia="Calibri" w:hAnsi="Calibri" w:cs="Calibri"/>
          <w:i/>
          <w:sz w:val="24"/>
          <w:szCs w:val="24"/>
        </w:rPr>
        <w:t xml:space="preserve"> - porterebbe un incremento di oltre un punto e mezzo di PIL nel breve termine, mentre ridurre gli oneri burocratico-amministrativi sulle imprese (in primo luogo quelli legati all’avvio di un’azienda o al pagamento delle imposte) vuol dire per l'Italia recuperare quasi 2 punti di Pil</w:t>
      </w:r>
      <w:r w:rsidRPr="00B400E5">
        <w:rPr>
          <w:rFonts w:ascii="Calibri" w:eastAsia="Calibri" w:hAnsi="Calibri" w:cs="Calibri"/>
          <w:sz w:val="24"/>
          <w:szCs w:val="24"/>
        </w:rPr>
        <w:t xml:space="preserve">". </w:t>
      </w:r>
    </w:p>
    <w:p w14:paraId="7822F2DA" w14:textId="77777777" w:rsidR="002A71BA" w:rsidRPr="00B400E5" w:rsidRDefault="002A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FCB9D30" w14:textId="77777777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B400E5">
        <w:rPr>
          <w:rFonts w:ascii="Calibri" w:eastAsia="Calibri" w:hAnsi="Calibri" w:cs="Calibri"/>
          <w:b/>
          <w:sz w:val="24"/>
          <w:szCs w:val="24"/>
        </w:rPr>
        <w:t xml:space="preserve">44mila nuove imprese in meno durante il </w:t>
      </w:r>
      <w:proofErr w:type="spellStart"/>
      <w:proofErr w:type="gramStart"/>
      <w:r w:rsidRPr="00B400E5">
        <w:rPr>
          <w:rFonts w:ascii="Calibri" w:eastAsia="Calibri" w:hAnsi="Calibri" w:cs="Calibri"/>
          <w:b/>
          <w:sz w:val="24"/>
          <w:szCs w:val="24"/>
        </w:rPr>
        <w:t>lockdown</w:t>
      </w:r>
      <w:proofErr w:type="spellEnd"/>
      <w:proofErr w:type="gramEnd"/>
    </w:p>
    <w:p w14:paraId="715A2E59" w14:textId="77777777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B400E5">
        <w:rPr>
          <w:rFonts w:ascii="Calibri" w:eastAsia="Calibri" w:hAnsi="Calibri" w:cs="Calibri"/>
          <w:sz w:val="24"/>
          <w:szCs w:val="24"/>
        </w:rPr>
        <w:t xml:space="preserve">Tra marzo e maggio scorsi, il Registro delle imprese segnala oltre 44mila iscrizioni in meno di nuove aziende rispetto allo stesso periodo dell’anno scorso, con una riduzione in termini percentuali del 42,8%. </w:t>
      </w:r>
    </w:p>
    <w:p w14:paraId="2BB10C89" w14:textId="231DC772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B400E5">
        <w:rPr>
          <w:rFonts w:ascii="Calibri" w:eastAsia="Calibri" w:hAnsi="Calibri" w:cs="Calibri"/>
          <w:sz w:val="24"/>
          <w:szCs w:val="24"/>
        </w:rPr>
        <w:t>La pandemia mostra di aver già colpito duro in diverse regioni del Nord e del Centro. In Lombardia e nelle Marche le iscrizioni di nuove imprese si sono dimezzate tra marzo e maggio</w:t>
      </w:r>
      <w:r w:rsidR="00D110DB" w:rsidRPr="00B400E5">
        <w:rPr>
          <w:rFonts w:ascii="Calibri" w:eastAsia="Calibri" w:hAnsi="Calibri" w:cs="Calibri"/>
          <w:sz w:val="24"/>
          <w:szCs w:val="24"/>
        </w:rPr>
        <w:t xml:space="preserve"> 2020</w:t>
      </w:r>
      <w:r w:rsidRPr="00B400E5">
        <w:rPr>
          <w:rFonts w:ascii="Calibri" w:eastAsia="Calibri" w:hAnsi="Calibri" w:cs="Calibri"/>
          <w:sz w:val="24"/>
          <w:szCs w:val="24"/>
        </w:rPr>
        <w:t xml:space="preserve"> rispetto allo scorso anno, in Toscana ed Emilia</w:t>
      </w:r>
      <w:r w:rsidR="00165648" w:rsidRPr="00B400E5">
        <w:rPr>
          <w:rFonts w:ascii="Calibri" w:eastAsia="Calibri" w:hAnsi="Calibri" w:cs="Calibri"/>
          <w:sz w:val="24"/>
          <w:szCs w:val="24"/>
        </w:rPr>
        <w:t>-</w:t>
      </w:r>
      <w:r w:rsidRPr="00B400E5">
        <w:rPr>
          <w:rFonts w:ascii="Calibri" w:eastAsia="Calibri" w:hAnsi="Calibri" w:cs="Calibri"/>
          <w:sz w:val="24"/>
          <w:szCs w:val="24"/>
        </w:rPr>
        <w:t>Romagna sono calate di oltre il 47%, Lazio e Friuli Venezia Giulia sperimentano una battuta d’arresto delle nuove imprese superiore al 45%. In valore assoluto, la Lombardia accusa lo stop maggiore nella diffusione di nuove aziende: -8.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>721 rispetto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 al 2019. A seguire il Lazio, con -5.056 nuove iscrizioni. 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>Quindi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 l’Emilia</w:t>
      </w:r>
      <w:r w:rsidR="00165648" w:rsidRPr="00B400E5">
        <w:rPr>
          <w:rFonts w:ascii="Calibri" w:eastAsia="Calibri" w:hAnsi="Calibri" w:cs="Calibri"/>
          <w:sz w:val="24"/>
          <w:szCs w:val="24"/>
        </w:rPr>
        <w:t>-</w:t>
      </w:r>
      <w:r w:rsidRPr="00B400E5">
        <w:rPr>
          <w:rFonts w:ascii="Calibri" w:eastAsia="Calibri" w:hAnsi="Calibri" w:cs="Calibri"/>
          <w:sz w:val="24"/>
          <w:szCs w:val="24"/>
        </w:rPr>
        <w:t>Romagna, con -3.535 nuove imprese.</w:t>
      </w:r>
    </w:p>
    <w:p w14:paraId="423AB584" w14:textId="77777777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B400E5">
        <w:rPr>
          <w:rFonts w:ascii="Calibri" w:eastAsia="Calibri" w:hAnsi="Calibri" w:cs="Calibri"/>
          <w:sz w:val="24"/>
          <w:szCs w:val="24"/>
        </w:rPr>
        <w:lastRenderedPageBreak/>
        <w:t xml:space="preserve">Sul fronte opposto della graduatoria, con dati quindi meno pesanti anche se comunque negativi, 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 xml:space="preserve">si 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incontrano diverse regioni del Mezzogiorno, a partire da Basilicata, Sicilia, Campania e Molise, dove le nuove imprese iscritte nei tre mesi del </w:t>
      </w:r>
      <w:proofErr w:type="spellStart"/>
      <w:r w:rsidRPr="00B400E5">
        <w:rPr>
          <w:rFonts w:ascii="Calibri" w:eastAsia="Calibri" w:hAnsi="Calibri" w:cs="Calibri"/>
          <w:sz w:val="24"/>
          <w:szCs w:val="24"/>
        </w:rPr>
        <w:t>lockdown</w:t>
      </w:r>
      <w:proofErr w:type="spellEnd"/>
      <w:r w:rsidRPr="00B400E5">
        <w:rPr>
          <w:rFonts w:ascii="Calibri" w:eastAsia="Calibri" w:hAnsi="Calibri" w:cs="Calibri"/>
          <w:sz w:val="24"/>
          <w:szCs w:val="24"/>
        </w:rPr>
        <w:t xml:space="preserve"> sono calate tra il 20 e il 30% rispetto al 2019.  </w:t>
      </w:r>
    </w:p>
    <w:p w14:paraId="6152694F" w14:textId="6A3EA981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B400E5">
        <w:rPr>
          <w:rFonts w:ascii="Calibri" w:eastAsia="Calibri" w:hAnsi="Calibri" w:cs="Calibri"/>
          <w:sz w:val="24"/>
          <w:szCs w:val="24"/>
        </w:rPr>
        <w:t xml:space="preserve">Alcuni settori, in particolare, registrano una riduzione notevole delle iscrizioni. E’ il caso delle Confezioni di articoli di abbigliamento (-59%), della Ristorazione e dell’Alloggio (-54% circa entrambi), della Fabbricazione di prodotti in metallo (dove si 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>registrano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 quasi la metà delle iscrizioni di nuove aziende rispetto allo stesso periodo dello scorso anno). Diminuzioni meno 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>significative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 si sono verificate invece tra le Attività ausiliare dei </w:t>
      </w:r>
      <w:r w:rsidR="00D110DB" w:rsidRPr="00B400E5">
        <w:rPr>
          <w:rFonts w:ascii="Calibri" w:eastAsia="Calibri" w:hAnsi="Calibri" w:cs="Calibri"/>
          <w:sz w:val="24"/>
          <w:szCs w:val="24"/>
        </w:rPr>
        <w:t>S</w:t>
      </w:r>
      <w:r w:rsidRPr="00B400E5">
        <w:rPr>
          <w:rFonts w:ascii="Calibri" w:eastAsia="Calibri" w:hAnsi="Calibri" w:cs="Calibri"/>
          <w:sz w:val="24"/>
          <w:szCs w:val="24"/>
        </w:rPr>
        <w:t xml:space="preserve">ervizi finanziari (-9,1%), nelle Industrie Alimentari (-22,3%) e nelle Coltivazioni agricole (-25% circa). </w:t>
      </w:r>
    </w:p>
    <w:p w14:paraId="319EEC2B" w14:textId="77777777" w:rsidR="002A71BA" w:rsidRPr="00B400E5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B400E5">
        <w:rPr>
          <w:rFonts w:ascii="Calibri" w:eastAsia="Calibri" w:hAnsi="Calibri" w:cs="Calibri"/>
          <w:sz w:val="24"/>
          <w:szCs w:val="24"/>
        </w:rPr>
        <w:t xml:space="preserve">Forte la contrazione della nascita sia delle società di capitali 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>che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 delle imprese individuali, le meno attrezzate ad affrontare lo tsunami del </w:t>
      </w:r>
      <w:proofErr w:type="spellStart"/>
      <w:r w:rsidRPr="00B400E5">
        <w:rPr>
          <w:rFonts w:ascii="Calibri" w:eastAsia="Calibri" w:hAnsi="Calibri" w:cs="Calibri"/>
          <w:sz w:val="24"/>
          <w:szCs w:val="24"/>
        </w:rPr>
        <w:t>Covid</w:t>
      </w:r>
      <w:proofErr w:type="spellEnd"/>
      <w:r w:rsidRPr="00B400E5">
        <w:rPr>
          <w:rFonts w:ascii="Calibri" w:eastAsia="Calibri" w:hAnsi="Calibri" w:cs="Calibri"/>
          <w:sz w:val="24"/>
          <w:szCs w:val="24"/>
        </w:rPr>
        <w:t xml:space="preserve"> 19. Le nuove società nate tra marzo e maggio sono</w:t>
      </w:r>
      <w:proofErr w:type="gramStart"/>
      <w:r w:rsidRPr="00B400E5">
        <w:rPr>
          <w:rFonts w:ascii="Calibri" w:eastAsia="Calibri" w:hAnsi="Calibri" w:cs="Calibri"/>
          <w:sz w:val="24"/>
          <w:szCs w:val="24"/>
        </w:rPr>
        <w:t xml:space="preserve"> infatti</w:t>
      </w:r>
      <w:proofErr w:type="gramEnd"/>
      <w:r w:rsidRPr="00B400E5">
        <w:rPr>
          <w:rFonts w:ascii="Calibri" w:eastAsia="Calibri" w:hAnsi="Calibri" w:cs="Calibri"/>
          <w:sz w:val="24"/>
          <w:szCs w:val="24"/>
        </w:rPr>
        <w:t xml:space="preserve"> la metà rispetto allo scorso anno (oltre 14mila in meno). Le ditte individuali, invece, sono circa il 40% in meno, con un calo però notevole in valore assoluto (-27mila).</w:t>
      </w:r>
    </w:p>
    <w:p w14:paraId="38D6F9C0" w14:textId="77777777" w:rsidR="002A71BA" w:rsidRPr="00B400E5" w:rsidRDefault="002A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A380335" w14:textId="77777777" w:rsidR="002A71BA" w:rsidRDefault="002A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4AEC97DD" w14:textId="4F725B9B" w:rsidR="002A71BA" w:rsidRPr="00D925B2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  <w:bookmarkStart w:id="0" w:name="_GoBack"/>
      <w:bookmarkEnd w:id="0"/>
    </w:p>
    <w:p w14:paraId="5A58CC9B" w14:textId="77777777" w:rsidR="00D925B2" w:rsidRDefault="00D925B2" w:rsidP="00D925B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L’</w:t>
      </w:r>
      <w:r w:rsidRPr="00105AAB">
        <w:rPr>
          <w:rFonts w:ascii="Calibri" w:hAnsi="Calibri"/>
          <w:b/>
          <w:sz w:val="32"/>
          <w:szCs w:val="32"/>
        </w:rPr>
        <w:t xml:space="preserve">impatto </w:t>
      </w:r>
      <w:r>
        <w:rPr>
          <w:rFonts w:ascii="Calibri" w:hAnsi="Calibri"/>
          <w:b/>
          <w:sz w:val="32"/>
          <w:szCs w:val="32"/>
        </w:rPr>
        <w:t xml:space="preserve">di alcune riforme </w:t>
      </w:r>
      <w:r w:rsidRPr="00105AAB">
        <w:rPr>
          <w:rFonts w:ascii="Calibri" w:hAnsi="Calibri"/>
          <w:b/>
          <w:sz w:val="32"/>
          <w:szCs w:val="32"/>
        </w:rPr>
        <w:t>sull’economia</w:t>
      </w:r>
      <w:r>
        <w:rPr>
          <w:rFonts w:ascii="Calibri" w:hAnsi="Calibri"/>
          <w:b/>
          <w:sz w:val="32"/>
          <w:szCs w:val="32"/>
        </w:rPr>
        <w:t xml:space="preserve"> nel breve termine </w:t>
      </w:r>
    </w:p>
    <w:p w14:paraId="1BAE4774" w14:textId="77777777" w:rsidR="00D925B2" w:rsidRPr="009066E5" w:rsidRDefault="00D925B2" w:rsidP="00D925B2">
      <w:pPr>
        <w:rPr>
          <w:rFonts w:ascii="Calibri" w:hAnsi="Calibri"/>
          <w:sz w:val="22"/>
          <w:szCs w:val="22"/>
        </w:rPr>
      </w:pPr>
    </w:p>
    <w:p w14:paraId="07F7EB43" w14:textId="77777777" w:rsidR="00D925B2" w:rsidRPr="000C4F64" w:rsidRDefault="00D925B2" w:rsidP="00D925B2">
      <w:pPr>
        <w:spacing w:before="120"/>
        <w:rPr>
          <w:rFonts w:ascii="Calibri" w:hAnsi="Calibri"/>
          <w:b/>
          <w:szCs w:val="24"/>
        </w:rPr>
      </w:pPr>
      <w:r w:rsidRPr="000C4F64">
        <w:rPr>
          <w:rFonts w:ascii="Calibri" w:hAnsi="Calibri"/>
          <w:b/>
          <w:szCs w:val="24"/>
        </w:rPr>
        <w:t xml:space="preserve">1. DIGITALIZZAZIONE </w:t>
      </w:r>
    </w:p>
    <w:p w14:paraId="4D090CB5" w14:textId="77777777" w:rsidR="00D925B2" w:rsidRPr="000C4F64" w:rsidRDefault="00D925B2" w:rsidP="00D925B2">
      <w:pPr>
        <w:numPr>
          <w:ilvl w:val="0"/>
          <w:numId w:val="6"/>
        </w:numPr>
        <w:jc w:val="both"/>
        <w:rPr>
          <w:rFonts w:ascii="Calibri" w:hAnsi="Calibri"/>
          <w:szCs w:val="24"/>
        </w:rPr>
      </w:pPr>
      <w:r w:rsidRPr="000C4F64">
        <w:rPr>
          <w:rFonts w:ascii="Calibri" w:hAnsi="Calibri"/>
          <w:b/>
          <w:color w:val="000000"/>
          <w:szCs w:val="24"/>
        </w:rPr>
        <w:t>PIL + 1,6 punti</w:t>
      </w:r>
      <w:r w:rsidRPr="000C4F64">
        <w:rPr>
          <w:rFonts w:ascii="Calibri" w:hAnsi="Calibri"/>
          <w:color w:val="000000"/>
          <w:szCs w:val="24"/>
        </w:rPr>
        <w:t xml:space="preserve"> con l’intensificarsi della digitalizzazione delle PMI italiane </w:t>
      </w:r>
    </w:p>
    <w:p w14:paraId="6F394B66" w14:textId="77777777" w:rsidR="00D925B2" w:rsidRPr="000C4F64" w:rsidRDefault="00D925B2" w:rsidP="00D925B2">
      <w:pPr>
        <w:spacing w:before="120"/>
        <w:rPr>
          <w:rFonts w:ascii="Calibri" w:hAnsi="Calibri"/>
          <w:b/>
          <w:szCs w:val="24"/>
        </w:rPr>
      </w:pPr>
      <w:r w:rsidRPr="000C4F64">
        <w:rPr>
          <w:rFonts w:ascii="Calibri" w:hAnsi="Calibri"/>
          <w:b/>
          <w:szCs w:val="24"/>
        </w:rPr>
        <w:t>2. SEMPLIFICAZIONE</w:t>
      </w:r>
    </w:p>
    <w:p w14:paraId="040E8B7C" w14:textId="77777777" w:rsidR="00D925B2" w:rsidRPr="000C4F64" w:rsidRDefault="00D925B2" w:rsidP="00D925B2">
      <w:pPr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0C4F64">
        <w:rPr>
          <w:rFonts w:ascii="Calibri" w:hAnsi="Calibri"/>
          <w:b/>
          <w:szCs w:val="24"/>
        </w:rPr>
        <w:t>PIL +1,8 punti</w:t>
      </w:r>
      <w:r w:rsidRPr="000C4F64">
        <w:rPr>
          <w:rFonts w:ascii="Calibri" w:hAnsi="Calibri"/>
          <w:szCs w:val="24"/>
        </w:rPr>
        <w:t xml:space="preserve"> con la</w:t>
      </w:r>
      <w:r w:rsidRPr="000C4F64">
        <w:rPr>
          <w:rFonts w:ascii="Calibri" w:hAnsi="Calibri"/>
          <w:color w:val="000000"/>
          <w:szCs w:val="24"/>
        </w:rPr>
        <w:t xml:space="preserve"> graduale riduzione degli oneri amministrativi (in primo luogo sull’avvio di un’impresa e sul pagamento delle imposte).</w:t>
      </w:r>
    </w:p>
    <w:p w14:paraId="3D09B83D" w14:textId="77777777" w:rsidR="00D925B2" w:rsidRPr="000C4F64" w:rsidRDefault="00D925B2" w:rsidP="00D925B2">
      <w:pPr>
        <w:spacing w:before="1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3</w:t>
      </w:r>
      <w:r w:rsidRPr="000C4F64">
        <w:rPr>
          <w:rFonts w:ascii="Calibri" w:hAnsi="Calibri"/>
          <w:b/>
          <w:szCs w:val="24"/>
        </w:rPr>
        <w:t>. QUALITÀ DEL CAPITALE UMANO E FORMAZIONE</w:t>
      </w:r>
    </w:p>
    <w:p w14:paraId="38EDCBBC" w14:textId="77777777" w:rsidR="00D925B2" w:rsidRPr="000C4F64" w:rsidRDefault="00D925B2" w:rsidP="00D925B2">
      <w:pPr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0C4F64">
        <w:rPr>
          <w:rFonts w:ascii="Calibri" w:hAnsi="Calibri"/>
          <w:b/>
          <w:szCs w:val="24"/>
        </w:rPr>
        <w:t>PIL +1,1 punti</w:t>
      </w:r>
      <w:r w:rsidRPr="000C4F64">
        <w:rPr>
          <w:rFonts w:ascii="Calibri" w:hAnsi="Calibri"/>
          <w:szCs w:val="24"/>
        </w:rPr>
        <w:t xml:space="preserve"> con il g</w:t>
      </w:r>
      <w:r w:rsidRPr="000C4F64">
        <w:rPr>
          <w:rFonts w:ascii="Calibri" w:hAnsi="Calibri"/>
          <w:color w:val="000000"/>
          <w:szCs w:val="24"/>
        </w:rPr>
        <w:t xml:space="preserve">raduale azzeramento del disallineamento fra domanda di lavoro e offerta del sistema </w:t>
      </w:r>
      <w:proofErr w:type="gramStart"/>
      <w:r w:rsidRPr="000C4F64">
        <w:rPr>
          <w:rFonts w:ascii="Calibri" w:hAnsi="Calibri"/>
          <w:color w:val="000000"/>
          <w:szCs w:val="24"/>
        </w:rPr>
        <w:t>formativo</w:t>
      </w:r>
      <w:proofErr w:type="gramEnd"/>
      <w:r w:rsidRPr="000C4F64">
        <w:rPr>
          <w:rFonts w:ascii="Calibri" w:hAnsi="Calibri"/>
          <w:color w:val="000000"/>
          <w:szCs w:val="24"/>
        </w:rPr>
        <w:t xml:space="preserve"> </w:t>
      </w:r>
    </w:p>
    <w:p w14:paraId="15ADC164" w14:textId="77777777" w:rsidR="00D925B2" w:rsidRPr="000C4F64" w:rsidRDefault="00D925B2" w:rsidP="00D925B2">
      <w:pPr>
        <w:spacing w:before="1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4</w:t>
      </w:r>
      <w:r w:rsidRPr="000C4F64">
        <w:rPr>
          <w:rFonts w:ascii="Calibri" w:hAnsi="Calibri"/>
          <w:b/>
          <w:szCs w:val="24"/>
        </w:rPr>
        <w:t xml:space="preserve">. INVESTIMENTI GREEN </w:t>
      </w:r>
    </w:p>
    <w:p w14:paraId="45E0E7DA" w14:textId="77777777" w:rsidR="00D925B2" w:rsidRPr="00E65256" w:rsidRDefault="00D925B2" w:rsidP="00D925B2">
      <w:pPr>
        <w:numPr>
          <w:ilvl w:val="0"/>
          <w:numId w:val="10"/>
        </w:numPr>
        <w:jc w:val="both"/>
        <w:rPr>
          <w:rFonts w:ascii="Calibri" w:hAnsi="Calibri"/>
          <w:szCs w:val="24"/>
        </w:rPr>
      </w:pPr>
      <w:r w:rsidRPr="000C4F64">
        <w:rPr>
          <w:rFonts w:ascii="Calibri" w:hAnsi="Calibri"/>
          <w:b/>
          <w:szCs w:val="24"/>
        </w:rPr>
        <w:t>PIL +0,9 punti</w:t>
      </w:r>
      <w:r w:rsidRPr="000C4F6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color w:val="000000"/>
          <w:szCs w:val="24"/>
        </w:rPr>
        <w:t xml:space="preserve">per effetto della maggiore produttività delle imprese che investono nel </w:t>
      </w:r>
      <w:proofErr w:type="gramStart"/>
      <w:r>
        <w:rPr>
          <w:rFonts w:ascii="Calibri" w:hAnsi="Calibri"/>
          <w:color w:val="000000"/>
          <w:szCs w:val="24"/>
        </w:rPr>
        <w:t>green</w:t>
      </w:r>
      <w:proofErr w:type="gramEnd"/>
      <w:r w:rsidRPr="000C4F64">
        <w:rPr>
          <w:rFonts w:ascii="Calibri" w:hAnsi="Calibri"/>
          <w:color w:val="000000"/>
          <w:szCs w:val="24"/>
        </w:rPr>
        <w:t xml:space="preserve"> </w:t>
      </w:r>
    </w:p>
    <w:p w14:paraId="602B7DD2" w14:textId="77777777" w:rsidR="00D925B2" w:rsidRPr="000C4F64" w:rsidRDefault="00D925B2" w:rsidP="00D925B2">
      <w:pPr>
        <w:spacing w:before="1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5</w:t>
      </w:r>
      <w:r w:rsidRPr="000C4F64">
        <w:rPr>
          <w:rFonts w:ascii="Calibri" w:hAnsi="Calibri"/>
          <w:b/>
          <w:szCs w:val="24"/>
        </w:rPr>
        <w:t xml:space="preserve">. </w:t>
      </w:r>
      <w:r>
        <w:rPr>
          <w:rFonts w:ascii="Calibri" w:hAnsi="Calibri"/>
          <w:b/>
          <w:szCs w:val="24"/>
        </w:rPr>
        <w:t>GIUSTIZIA CIVILE E MEDIAZIONE</w:t>
      </w:r>
      <w:r w:rsidRPr="000C4F64">
        <w:rPr>
          <w:rFonts w:ascii="Calibri" w:hAnsi="Calibri"/>
          <w:b/>
          <w:szCs w:val="24"/>
        </w:rPr>
        <w:t xml:space="preserve"> </w:t>
      </w:r>
    </w:p>
    <w:p w14:paraId="7F86C324" w14:textId="77777777" w:rsidR="00D925B2" w:rsidRPr="00E65256" w:rsidRDefault="00D925B2" w:rsidP="00D925B2">
      <w:pPr>
        <w:numPr>
          <w:ilvl w:val="0"/>
          <w:numId w:val="10"/>
        </w:numPr>
        <w:jc w:val="both"/>
        <w:rPr>
          <w:rFonts w:ascii="Calibri" w:hAnsi="Calibri"/>
          <w:szCs w:val="24"/>
        </w:rPr>
      </w:pPr>
      <w:r w:rsidRPr="00E65256">
        <w:rPr>
          <w:rFonts w:ascii="Calibri" w:hAnsi="Calibri"/>
          <w:b/>
          <w:szCs w:val="24"/>
        </w:rPr>
        <w:t>PIL +0,4 punti</w:t>
      </w:r>
      <w:r w:rsidRPr="00E65256">
        <w:rPr>
          <w:rFonts w:ascii="Calibri" w:hAnsi="Calibri"/>
          <w:szCs w:val="24"/>
        </w:rPr>
        <w:t xml:space="preserve"> </w:t>
      </w:r>
      <w:r w:rsidRPr="00E65256">
        <w:rPr>
          <w:rFonts w:ascii="Calibri" w:hAnsi="Calibri"/>
          <w:color w:val="000000"/>
          <w:szCs w:val="24"/>
        </w:rPr>
        <w:t xml:space="preserve">per effetto </w:t>
      </w:r>
      <w:r>
        <w:rPr>
          <w:rFonts w:ascii="Calibri" w:hAnsi="Calibri"/>
          <w:color w:val="000000"/>
          <w:szCs w:val="24"/>
        </w:rPr>
        <w:t>del r</w:t>
      </w:r>
      <w:r w:rsidRPr="00E65256">
        <w:rPr>
          <w:rFonts w:ascii="Calibri" w:hAnsi="Calibri"/>
          <w:color w:val="000000"/>
          <w:szCs w:val="24"/>
        </w:rPr>
        <w:t xml:space="preserve">isparmio economico ottenuto attraverso la giustizia alternativa e una minore lentezza dei processi </w:t>
      </w:r>
      <w:proofErr w:type="gramStart"/>
      <w:r w:rsidRPr="00E65256">
        <w:rPr>
          <w:rFonts w:ascii="Calibri" w:hAnsi="Calibri"/>
          <w:color w:val="000000"/>
          <w:szCs w:val="24"/>
        </w:rPr>
        <w:t>civili</w:t>
      </w:r>
      <w:proofErr w:type="gramEnd"/>
    </w:p>
    <w:p w14:paraId="6FF944D2" w14:textId="77777777" w:rsidR="00D925B2" w:rsidRPr="000C4F64" w:rsidRDefault="00D925B2" w:rsidP="00D925B2">
      <w:pPr>
        <w:spacing w:before="1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6</w:t>
      </w:r>
      <w:r w:rsidRPr="000C4F64">
        <w:rPr>
          <w:rFonts w:ascii="Calibri" w:hAnsi="Calibri"/>
          <w:b/>
          <w:szCs w:val="24"/>
        </w:rPr>
        <w:t>. INTERNAZIONALIZZAZIONE</w:t>
      </w:r>
    </w:p>
    <w:p w14:paraId="48D21929" w14:textId="77777777" w:rsidR="00D925B2" w:rsidRPr="000C4F64" w:rsidRDefault="00D925B2" w:rsidP="00D925B2">
      <w:pPr>
        <w:numPr>
          <w:ilvl w:val="0"/>
          <w:numId w:val="8"/>
        </w:numPr>
        <w:jc w:val="both"/>
        <w:rPr>
          <w:rFonts w:ascii="Calibri" w:hAnsi="Calibri"/>
          <w:szCs w:val="24"/>
        </w:rPr>
      </w:pPr>
      <w:r w:rsidRPr="000C4F64">
        <w:rPr>
          <w:rFonts w:ascii="Calibri" w:hAnsi="Calibri"/>
          <w:b/>
          <w:color w:val="000000"/>
          <w:szCs w:val="24"/>
        </w:rPr>
        <w:t>PIL +0,7 punti</w:t>
      </w:r>
      <w:r w:rsidRPr="000C4F64">
        <w:rPr>
          <w:rFonts w:ascii="Calibri" w:hAnsi="Calibri"/>
          <w:color w:val="000000"/>
          <w:szCs w:val="24"/>
        </w:rPr>
        <w:t xml:space="preserve"> se le imprese manifatturiere occasionalmente esportatrici generassero gli stessi flussi di export di quelle già operanti stabilmente all’</w:t>
      </w:r>
      <w:proofErr w:type="gramStart"/>
      <w:r w:rsidRPr="000C4F64">
        <w:rPr>
          <w:rFonts w:ascii="Calibri" w:hAnsi="Calibri"/>
          <w:color w:val="000000"/>
          <w:szCs w:val="24"/>
        </w:rPr>
        <w:t>estero</w:t>
      </w:r>
      <w:proofErr w:type="gramEnd"/>
    </w:p>
    <w:p w14:paraId="3F1C10E3" w14:textId="77777777" w:rsidR="00D925B2" w:rsidRDefault="00D925B2" w:rsidP="00D925B2"/>
    <w:p w14:paraId="32C0A9E2" w14:textId="77777777" w:rsidR="00D925B2" w:rsidRDefault="00D925B2" w:rsidP="00D925B2"/>
    <w:p w14:paraId="24421FA4" w14:textId="77777777" w:rsidR="00D925B2" w:rsidRDefault="00D925B2" w:rsidP="00D925B2">
      <w:r>
        <w:rPr>
          <w:noProof/>
        </w:rPr>
        <w:drawing>
          <wp:inline distT="0" distB="0" distL="0" distR="0" wp14:anchorId="17C49692" wp14:editId="6BD11728">
            <wp:extent cx="6181725" cy="40404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34" cy="4041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AC496" w14:textId="2F727DB4" w:rsidR="002A71BA" w:rsidRDefault="002A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49D62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Fonte: Unioncamere-Centro Studi delle Camere di commercio Guglielmo Tagliacarne</w:t>
      </w:r>
    </w:p>
    <w:p w14:paraId="0D36B237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br w:type="page"/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Iscrizioni di nuove imprese tra marzo e maggio 2020 e confronto con marzo-maggio 2019, differenze in valori assoluti e in percentuale, per r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egione, macro ripartizione e forma giuridica</w:t>
      </w:r>
    </w:p>
    <w:tbl>
      <w:tblPr>
        <w:tblStyle w:val="a"/>
        <w:tblW w:w="8804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283"/>
        <w:gridCol w:w="1134"/>
        <w:gridCol w:w="993"/>
        <w:gridCol w:w="2126"/>
        <w:gridCol w:w="2268"/>
      </w:tblGrid>
      <w:tr w:rsidR="002A71BA" w14:paraId="109CA9C1" w14:textId="77777777">
        <w:trPr>
          <w:trHeight w:val="750"/>
        </w:trPr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93F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BBC361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Marzo-Maggio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749FA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Marzo-Maggio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2019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1E589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Variazioni assolute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marzo-maggio 2019-marzo-maggio 2020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A2B5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Variazioni percentuali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marzo-maggio 2019-marzo-maggio 2020</w:t>
            </w:r>
          </w:p>
        </w:tc>
      </w:tr>
      <w:tr w:rsidR="002A71BA" w14:paraId="7400A6B0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29171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467E69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4.118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05CD6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7.462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A6ACA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-3.344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99B1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-44,8</w:t>
            </w:r>
          </w:p>
        </w:tc>
      </w:tr>
      <w:tr w:rsidR="002A71BA" w14:paraId="0E3B778B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7912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557FEC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D6C77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AE83D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-87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04624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-42,0</w:t>
            </w:r>
          </w:p>
        </w:tc>
      </w:tr>
      <w:tr w:rsidR="002A71BA" w14:paraId="59B6BCC5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5CDF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E9C291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7.966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E2454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16.687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89A04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-8.721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6563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-52,3</w:t>
            </w:r>
          </w:p>
        </w:tc>
      </w:tr>
      <w:tr w:rsidR="002A71BA" w14:paraId="1BD55DFB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74B94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Trentino-Alto Adige/Südtirol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2F44E8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756F4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1.814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3BCA2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-713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6B9D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-39,3</w:t>
            </w:r>
          </w:p>
        </w:tc>
      </w:tr>
      <w:tr w:rsidR="002A71BA" w14:paraId="02C7D515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321F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8BB4BB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4.591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54616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7.684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2A8A6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-3.093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CA2A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-40,3</w:t>
            </w:r>
          </w:p>
        </w:tc>
      </w:tr>
      <w:tr w:rsidR="002A71BA" w14:paraId="50D2B43E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462AE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Friuli-Venezia Giulia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E869B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2D3A4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1.397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21554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-635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0D04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-45,5</w:t>
            </w:r>
          </w:p>
        </w:tc>
      </w:tr>
      <w:tr w:rsidR="002A71BA" w14:paraId="24F984CD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98BC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C55638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1.521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D74DD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2.744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8D2F6B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-1.223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50C09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-44,6</w:t>
            </w:r>
          </w:p>
        </w:tc>
      </w:tr>
      <w:tr w:rsidR="002A71BA" w14:paraId="1D7EBC64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8707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Emilia-Romagna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8AE228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3.954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6E499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7.489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0ADFF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-3.535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3E7E4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-47,2</w:t>
            </w:r>
          </w:p>
        </w:tc>
      </w:tr>
      <w:tr w:rsidR="002A71BA" w14:paraId="5E152C03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DF8F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14A46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3.747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F49FC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7.156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2A22EE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-3.409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EECC0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-47,6</w:t>
            </w:r>
          </w:p>
        </w:tc>
      </w:tr>
      <w:tr w:rsidR="002A71BA" w14:paraId="0BEB69EB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464D4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0F5CA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61836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1.475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FAC40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-537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E666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-36,4</w:t>
            </w:r>
          </w:p>
        </w:tc>
      </w:tr>
      <w:tr w:rsidR="002A71BA" w14:paraId="51FEA16F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B107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C2DF7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039EA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2.487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EAAFB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-1.280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63855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-51,5</w:t>
            </w:r>
          </w:p>
        </w:tc>
      </w:tr>
      <w:tr w:rsidR="002A71BA" w14:paraId="528D1855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408D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45356E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5.951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39A40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11.007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5563C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-5.056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E2741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-45,9</w:t>
            </w:r>
          </w:p>
        </w:tc>
      </w:tr>
      <w:tr w:rsidR="002A71BA" w14:paraId="5A90F7E1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EB5DA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73C0C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1.451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B7839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2.392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F3FDD8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-941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23055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-39,3</w:t>
            </w:r>
          </w:p>
        </w:tc>
      </w:tr>
      <w:tr w:rsidR="002A71BA" w14:paraId="5B60593C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256B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144B85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61AF7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29610D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-196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2194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-35,2</w:t>
            </w:r>
          </w:p>
        </w:tc>
      </w:tr>
      <w:tr w:rsidR="002A71BA" w14:paraId="6A04D788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C459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166FD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CCAD7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10.823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526C67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-3.433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83A6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-31,7</w:t>
            </w:r>
          </w:p>
        </w:tc>
      </w:tr>
      <w:tr w:rsidR="002A71BA" w14:paraId="29490228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CD680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11BC1E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4.352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EACF6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7.411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2462E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-3.059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2739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-41,3</w:t>
            </w:r>
          </w:p>
        </w:tc>
      </w:tr>
      <w:tr w:rsidR="002A71BA" w14:paraId="0164DFDB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4890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68C85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DAE83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90B05F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-196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1480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-23,7</w:t>
            </w:r>
          </w:p>
        </w:tc>
      </w:tr>
      <w:tr w:rsidR="002A71BA" w14:paraId="24359717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C879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E1A53B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1.626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0A911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2.913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6D46B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-1.287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E6F0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-44,2</w:t>
            </w:r>
          </w:p>
        </w:tc>
      </w:tr>
      <w:tr w:rsidR="002A71BA" w14:paraId="26A34832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F20E6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F1F05A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28535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7.696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115C9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-2.193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1AB52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-28,5</w:t>
            </w:r>
          </w:p>
        </w:tc>
      </w:tr>
      <w:tr w:rsidR="002A71BA" w14:paraId="081C7B78" w14:textId="77777777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5692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6FBF7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11A20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2.895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680F5C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-1.152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9EF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-39,8</w:t>
            </w:r>
          </w:p>
        </w:tc>
      </w:tr>
      <w:tr w:rsidR="002A71BA" w14:paraId="0ACE34BB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9693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Nord-Ovest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06F6F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13.725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3C54B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27.100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A8AD02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-13.375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60B36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-49,4</w:t>
            </w:r>
          </w:p>
        </w:tc>
      </w:tr>
      <w:tr w:rsidR="002A71BA" w14:paraId="2AD941B1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C9AF0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Nord-Est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4C186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10.408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51DDA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18.384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AFF64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-7.976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88C42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-43,4</w:t>
            </w:r>
          </w:p>
        </w:tc>
      </w:tr>
      <w:tr w:rsidR="002A71BA" w14:paraId="20440BCB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9E80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606843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11.843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0B3CF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22.125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12EF41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-10.282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58370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-46,5</w:t>
            </w:r>
          </w:p>
        </w:tc>
      </w:tr>
      <w:tr w:rsidR="002A71BA" w14:paraId="4CAAD284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85351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Sud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A51FAF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15.812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14855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24.924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4CC86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-9.112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1EBA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-36,6</w:t>
            </w:r>
          </w:p>
        </w:tc>
      </w:tr>
      <w:tr w:rsidR="002A71BA" w14:paraId="5F9F8AFC" w14:textId="77777777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F22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Isole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08F16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22B6F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10.591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D20FC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-3.345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FEC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-31,6</w:t>
            </w:r>
          </w:p>
        </w:tc>
      </w:tr>
      <w:tr w:rsidR="002A71BA" w14:paraId="581988CF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A3CC3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Imprese individuali e altre forme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4DD948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41.595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97A3E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68.585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77E33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-26.990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43F9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-39,4</w:t>
            </w:r>
          </w:p>
        </w:tc>
      </w:tr>
      <w:tr w:rsidR="002A71BA" w14:paraId="6363375E" w14:textId="77777777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A2431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Società di capitale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F3C32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14.824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92C98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29.137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549D40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-14.313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58BD4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-49,1</w:t>
            </w:r>
          </w:p>
        </w:tc>
      </w:tr>
      <w:tr w:rsidR="002A71BA" w14:paraId="5C4EF07E" w14:textId="77777777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0FC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Società di persone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7A1E1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2.615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E0EEE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5.402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3A2DF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-2.787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6E5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-51,6</w:t>
            </w:r>
          </w:p>
        </w:tc>
      </w:tr>
      <w:tr w:rsidR="002A71BA" w14:paraId="0BCAAE11" w14:textId="77777777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CEE2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F9734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59.034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C9846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103.124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5EA24A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-44.090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C4F4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-42,8</w:t>
            </w:r>
          </w:p>
        </w:tc>
      </w:tr>
    </w:tbl>
    <w:p w14:paraId="7984701B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Fonte: Unioncamere-Centro Studi delle Camere di commercio Guglielmo Tagliacarne</w:t>
      </w:r>
    </w:p>
    <w:p w14:paraId="68CDA2E8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br w:type="page"/>
      </w:r>
    </w:p>
    <w:p w14:paraId="33EF9C16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Iscrizioni di nuove imprese tra marzo e maggio 2020 e confronto con marzo-maggio 2019, differenze in valori assoluti e in percentuale per i principali settori economici</w:t>
      </w:r>
    </w:p>
    <w:tbl>
      <w:tblPr>
        <w:tblStyle w:val="a0"/>
        <w:tblW w:w="898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000"/>
        <w:gridCol w:w="1060"/>
        <w:gridCol w:w="1440"/>
        <w:gridCol w:w="1480"/>
      </w:tblGrid>
      <w:tr w:rsidR="002A71BA" w14:paraId="121460CC" w14:textId="77777777">
        <w:trPr>
          <w:trHeight w:val="74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43D0D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B04BB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marzo-maggio 2020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562D8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differenza in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val.ass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DAA2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differenza in %</w:t>
            </w:r>
          </w:p>
        </w:tc>
      </w:tr>
      <w:tr w:rsidR="002A71BA" w14:paraId="748FDF7F" w14:textId="77777777">
        <w:trPr>
          <w:trHeight w:val="240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2D23D6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01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Coltivazioni agricole e produzione di prodotti animali, c...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68AD40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5.617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F556E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-1.863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12C80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-24,9</w:t>
            </w:r>
          </w:p>
        </w:tc>
      </w:tr>
      <w:tr w:rsidR="002A71BA" w14:paraId="0405BE2D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7E051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 10 Industrie alimentari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5397450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3F5A4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2766B7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-22,3</w:t>
            </w:r>
          </w:p>
        </w:tc>
      </w:tr>
      <w:tr w:rsidR="002A71BA" w14:paraId="4BCEC771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5D872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 14 Confezione di articoli di abbigliamento; confezione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7E17F0C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7E343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FA5843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-59,2</w:t>
            </w:r>
          </w:p>
        </w:tc>
      </w:tr>
      <w:tr w:rsidR="002A71BA" w14:paraId="5EC58C25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C6052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 25 Fabbricazione di prodotti in metallo (esclusi macchinari 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05BF9CF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F6026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2C8071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-49,3</w:t>
            </w:r>
          </w:p>
        </w:tc>
      </w:tr>
      <w:tr w:rsidR="002A71BA" w14:paraId="1A4D115A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9E528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 33 Riparazione, manutenzione ed installazione di macchine ed...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63D05B1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43194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82CD0A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-33,0</w:t>
            </w:r>
          </w:p>
        </w:tc>
      </w:tr>
      <w:tr w:rsidR="002A71BA" w14:paraId="64B8AA2D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9F612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 41 Costruzione di edifici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125E8BC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261CA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-634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125083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-39,2</w:t>
            </w:r>
          </w:p>
        </w:tc>
      </w:tr>
      <w:tr w:rsidR="002A71BA" w14:paraId="6AA6485B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6560C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 43 Lavori di costruzione specializzati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1B3EA9B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0232F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-3.287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569106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-35,5</w:t>
            </w:r>
          </w:p>
        </w:tc>
      </w:tr>
      <w:tr w:rsidR="002A71BA" w14:paraId="43C62806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32B33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 45 Commercio all'ingrosso e al dettaglio e riparazione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1C11E48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78D49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-628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77FFAD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-43,2</w:t>
            </w:r>
          </w:p>
        </w:tc>
      </w:tr>
      <w:tr w:rsidR="002A71BA" w14:paraId="42873AC4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FA50F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 46 Commercio all'ingrosso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escluso quello di autoveicoli e d...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54FFCA1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F902C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-1.888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2ECD3D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-36,0</w:t>
            </w:r>
          </w:p>
        </w:tc>
      </w:tr>
      <w:tr w:rsidR="002A71BA" w14:paraId="069FC69A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E6475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 47 Commercio al dettaglio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escluso quello di autoveicoli e d...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154CDD0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C752D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-2.813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9C2F0E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-41,6</w:t>
            </w:r>
          </w:p>
        </w:tc>
      </w:tr>
      <w:tr w:rsidR="002A71BA" w14:paraId="6AC65DC0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92B3C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 55 Alloggio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290784C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7CA11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83C423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-53,9</w:t>
            </w:r>
          </w:p>
        </w:tc>
      </w:tr>
      <w:tr w:rsidR="002A71BA" w14:paraId="37397807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077A0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 56 Attività dei servizi di ristorazione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54E1FC6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9C86F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-1.331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BF23DC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-54,1</w:t>
            </w:r>
          </w:p>
        </w:tc>
      </w:tr>
      <w:tr w:rsidR="002A71BA" w14:paraId="0D066C16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BE71D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 62 Produzione di software, consulenza informatica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attivitÃ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4F233CD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E30E1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29FF1A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-33,8</w:t>
            </w:r>
          </w:p>
        </w:tc>
      </w:tr>
      <w:tr w:rsidR="002A71BA" w14:paraId="357FD723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6D485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66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Attività ausiliarie dei servizi finanziari e delle attivi...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5D7DA60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56FB4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BF307D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-9,1</w:t>
            </w:r>
          </w:p>
        </w:tc>
      </w:tr>
      <w:tr w:rsidR="002A71BA" w14:paraId="5F39D768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6D171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 68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Attivita'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immobiliari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681B516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0EAEE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D59205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-42,2</w:t>
            </w:r>
          </w:p>
        </w:tc>
      </w:tr>
      <w:tr w:rsidR="002A71BA" w14:paraId="7A0423B9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09A71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 70 Attività di direzione aziendale e di consulenza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gestional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125C164B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CFF52A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1FD35C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-35,3</w:t>
            </w:r>
          </w:p>
        </w:tc>
      </w:tr>
      <w:tr w:rsidR="002A71BA" w14:paraId="160C5131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DB5EA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 74 Altre attività professionali, scientifiche e tecniche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79CAFC9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4A0BF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2BA098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-36,5</w:t>
            </w:r>
          </w:p>
        </w:tc>
      </w:tr>
      <w:tr w:rsidR="002A71BA" w14:paraId="72593BF9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9393C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 81 Attività di servizi per edifici e paesaggio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4598FE0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55359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4F4E745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-28,0</w:t>
            </w:r>
          </w:p>
        </w:tc>
      </w:tr>
      <w:tr w:rsidR="002A71BA" w14:paraId="1EEE2E52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5EADA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 82 Attività di supporto per le funzioni d'ufficio e altri se...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1F39A72F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CF67A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-738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CC93B22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-43,3</w:t>
            </w:r>
          </w:p>
        </w:tc>
      </w:tr>
      <w:tr w:rsidR="002A71BA" w14:paraId="6AF62B47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73B54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 85 Istruzione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1BFE49E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663B1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DF4949D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-33,9</w:t>
            </w:r>
          </w:p>
        </w:tc>
      </w:tr>
      <w:tr w:rsidR="002A71BA" w14:paraId="5058C92F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E73C0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 96 Altre attività di servizi per la persona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41F6AE7C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90B20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-841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D097EF8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-40,2</w:t>
            </w:r>
          </w:p>
        </w:tc>
      </w:tr>
      <w:tr w:rsidR="002A71BA" w14:paraId="7D9717F6" w14:textId="77777777">
        <w:trPr>
          <w:trHeight w:val="24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2AE8C9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Altri settori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</w:tcBorders>
          </w:tcPr>
          <w:p w14:paraId="7E31699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4.155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ADC35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-2.639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D2ACA1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-38,8</w:t>
            </w:r>
          </w:p>
        </w:tc>
      </w:tr>
      <w:tr w:rsidR="002A71BA" w14:paraId="19133E16" w14:textId="77777777">
        <w:trPr>
          <w:trHeight w:val="260"/>
        </w:trPr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7F292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Imprese non classificate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159E56E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23.660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C36BE6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-23.662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40F4693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-50,0</w:t>
            </w:r>
          </w:p>
        </w:tc>
      </w:tr>
      <w:tr w:rsidR="002A71BA" w14:paraId="191ADFB4" w14:textId="77777777">
        <w:trPr>
          <w:trHeight w:val="26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418CD0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3D197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59.034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4C7961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-44.090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D94AE4" w14:textId="77777777" w:rsidR="002A71BA" w:rsidRDefault="0046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-42,8</w:t>
            </w:r>
          </w:p>
        </w:tc>
      </w:tr>
    </w:tbl>
    <w:p w14:paraId="3704ABD2" w14:textId="77777777" w:rsidR="002A71BA" w:rsidRDefault="004626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i/>
          <w:color w:val="000000"/>
          <w:sz w:val="18"/>
          <w:szCs w:val="18"/>
        </w:rPr>
        <w:t>Fonte: Unioncamere-Centro Studi delle Camere di commercio Guglielmo Tagliacarne</w:t>
      </w:r>
    </w:p>
    <w:p w14:paraId="4940704E" w14:textId="77777777" w:rsidR="002A71BA" w:rsidRDefault="002A71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2A71BA">
      <w:headerReference w:type="default" r:id="rId10"/>
      <w:footerReference w:type="default" r:id="rId11"/>
      <w:pgSz w:w="11906" w:h="16838"/>
      <w:pgMar w:top="1134" w:right="1559" w:bottom="907" w:left="1559" w:header="720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AC8D9" w14:textId="77777777" w:rsidR="004626A4" w:rsidRDefault="004626A4">
      <w:r>
        <w:separator/>
      </w:r>
    </w:p>
  </w:endnote>
  <w:endnote w:type="continuationSeparator" w:id="0">
    <w:p w14:paraId="1030B5CB" w14:textId="77777777" w:rsidR="004626A4" w:rsidRDefault="0046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asa">
    <w:altName w:val="Times New Roman"/>
    <w:charset w:val="00"/>
    <w:family w:val="auto"/>
    <w:pitch w:val="default"/>
  </w:font>
  <w:font w:name="Rasa Light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448A" w14:textId="77777777" w:rsidR="002A71BA" w:rsidRDefault="002A71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1"/>
      <w:tblW w:w="9356" w:type="dxa"/>
      <w:tblInd w:w="0" w:type="dxa"/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2A71BA" w14:paraId="2B620A1A" w14:textId="77777777">
      <w:trPr>
        <w:trHeight w:val="464"/>
      </w:trPr>
      <w:tc>
        <w:tcPr>
          <w:tcW w:w="4678" w:type="dxa"/>
          <w:vAlign w:val="center"/>
        </w:tcPr>
        <w:p w14:paraId="0E861C6E" w14:textId="77777777" w:rsidR="002A71BA" w:rsidRDefault="004626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</w:rPr>
          </w:pPr>
          <w:r>
            <w:rPr>
              <w:rFonts w:ascii="Rasa Light" w:eastAsia="Rasa Light" w:hAnsi="Rasa Light" w:cs="Rasa Light"/>
              <w:b/>
              <w:color w:val="071D49"/>
            </w:rPr>
            <w:t>Per ulteriori informazioni:</w:t>
          </w:r>
        </w:p>
        <w:p w14:paraId="49FD6793" w14:textId="77777777" w:rsidR="002A71BA" w:rsidRDefault="004626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Rasa Light" w:eastAsia="Rasa Light" w:hAnsi="Rasa Light" w:cs="Rasa Light"/>
              <w:color w:val="071D49"/>
            </w:rPr>
            <w:t>348.9025607-331.6098963</w:t>
          </w:r>
        </w:p>
      </w:tc>
      <w:bookmarkStart w:id="2" w:name="_30j0zll" w:colFirst="0" w:colLast="0"/>
      <w:bookmarkEnd w:id="2"/>
      <w:tc>
        <w:tcPr>
          <w:tcW w:w="4678" w:type="dxa"/>
          <w:vAlign w:val="center"/>
        </w:tcPr>
        <w:p w14:paraId="197B5469" w14:textId="77777777" w:rsidR="002A71BA" w:rsidRDefault="004626A4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HYPERLINK "http://www.unioncamere.gov.it"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</w:rPr>
            <w:drawing>
              <wp:inline distT="0" distB="0" distL="114300" distR="114300" wp14:anchorId="31221507" wp14:editId="038D8151">
                <wp:extent cx="215900" cy="215900"/>
                <wp:effectExtent l="0" t="0" r="0" b="0"/>
                <wp:docPr id="2" name="image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</w:rPr>
            <w:fldChar w:fldCharType="end"/>
          </w: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66A6B6BF" wp14:editId="24BDB1AD">
                  <wp:extent cx="222250" cy="222250"/>
                  <wp:effectExtent l="0" t="0" r="0" b="0"/>
                  <wp:docPr id="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  <w:hyperlink r:id="rId4"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C561018" wp14:editId="2CB41ED2">
                  <wp:extent cx="225425" cy="224790"/>
                  <wp:effectExtent l="0" t="0" r="0" b="0"/>
                  <wp:docPr id="4" name="image1.png" descr="logo-facebook-piccolo-anda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facebook-piccolo-andal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4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6"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50F1750" wp14:editId="7EFE144D">
                  <wp:extent cx="398780" cy="222250"/>
                  <wp:effectExtent l="0" t="0" r="0" b="0"/>
                  <wp:docPr id="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22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hyperlink r:id="rId8"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745DCFAC" wp14:editId="4DF4E382">
                  <wp:extent cx="425450" cy="22796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 </w:t>
          </w: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 </w:t>
          </w:r>
        </w:p>
      </w:tc>
    </w:tr>
  </w:tbl>
  <w:p w14:paraId="6B2A45A2" w14:textId="77777777" w:rsidR="002A71BA" w:rsidRDefault="002A7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14:paraId="4FBE4EE9" w14:textId="77777777" w:rsidR="002A71BA" w:rsidRDefault="002A7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A9449" w14:textId="77777777" w:rsidR="004626A4" w:rsidRDefault="004626A4">
      <w:r>
        <w:separator/>
      </w:r>
    </w:p>
  </w:footnote>
  <w:footnote w:type="continuationSeparator" w:id="0">
    <w:p w14:paraId="13DE408F" w14:textId="77777777" w:rsidR="004626A4" w:rsidRDefault="004626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DF34" w14:textId="77777777" w:rsidR="002A71BA" w:rsidRDefault="002A7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  <w:p w14:paraId="7A1DA8A0" w14:textId="77777777" w:rsidR="002A71BA" w:rsidRDefault="002A7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E14"/>
    <w:multiLevelType w:val="hybridMultilevel"/>
    <w:tmpl w:val="5A26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7DD2"/>
    <w:multiLevelType w:val="multilevel"/>
    <w:tmpl w:val="65E47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7DA0F8D"/>
    <w:multiLevelType w:val="hybridMultilevel"/>
    <w:tmpl w:val="AA4A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83404"/>
    <w:multiLevelType w:val="hybridMultilevel"/>
    <w:tmpl w:val="689A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20BB0"/>
    <w:multiLevelType w:val="hybridMultilevel"/>
    <w:tmpl w:val="F7A8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104C"/>
    <w:multiLevelType w:val="hybridMultilevel"/>
    <w:tmpl w:val="E4BCA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41B78"/>
    <w:multiLevelType w:val="multilevel"/>
    <w:tmpl w:val="0D76B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D8335A9"/>
    <w:multiLevelType w:val="multilevel"/>
    <w:tmpl w:val="8AD80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50D3944"/>
    <w:multiLevelType w:val="multilevel"/>
    <w:tmpl w:val="2FB24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C5D57B8"/>
    <w:multiLevelType w:val="multilevel"/>
    <w:tmpl w:val="DB586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BA"/>
    <w:rsid w:val="00165648"/>
    <w:rsid w:val="001957EA"/>
    <w:rsid w:val="002A71BA"/>
    <w:rsid w:val="004626A4"/>
    <w:rsid w:val="00B400E5"/>
    <w:rsid w:val="00D110DB"/>
    <w:rsid w:val="00D925B2"/>
    <w:rsid w:val="00D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6BF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56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5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4" Type="http://schemas.openxmlformats.org/officeDocument/2006/relationships/hyperlink" Target="http://www.facebook.com/Unioncamere" TargetMode="External"/><Relationship Id="rId5" Type="http://schemas.openxmlformats.org/officeDocument/2006/relationships/image" Target="media/image5.png"/><Relationship Id="rId6" Type="http://schemas.openxmlformats.org/officeDocument/2006/relationships/hyperlink" Target="https://twitter.com/unioncamere" TargetMode="External"/><Relationship Id="rId7" Type="http://schemas.openxmlformats.org/officeDocument/2006/relationships/image" Target="media/image6.jpg"/><Relationship Id="rId8" Type="http://schemas.openxmlformats.org/officeDocument/2006/relationships/hyperlink" Target="http://www.youtube.com/user/pressroomunioncamere?feature=results_main" TargetMode="External"/><Relationship Id="rId9" Type="http://schemas.openxmlformats.org/officeDocument/2006/relationships/image" Target="media/image7.png"/><Relationship Id="rId1" Type="http://schemas.openxmlformats.org/officeDocument/2006/relationships/image" Target="media/image3.jpg"/><Relationship Id="rId2" Type="http://schemas.openxmlformats.org/officeDocument/2006/relationships/hyperlink" Target="mailto:ufficio.stampa@unioncam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1198</Words>
  <Characters>6830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Infante</dc:creator>
  <cp:lastModifiedBy>user</cp:lastModifiedBy>
  <cp:revision>5</cp:revision>
  <cp:lastPrinted>2020-06-25T07:11:00Z</cp:lastPrinted>
  <dcterms:created xsi:type="dcterms:W3CDTF">2020-06-25T07:42:00Z</dcterms:created>
  <dcterms:modified xsi:type="dcterms:W3CDTF">2020-06-25T08:02:00Z</dcterms:modified>
</cp:coreProperties>
</file>