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DB0E7" w14:textId="77777777"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r w:rsidRPr="00A06E20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 wp14:anchorId="3D00AE84" wp14:editId="5E33D52B">
            <wp:simplePos x="0" y="0"/>
            <wp:positionH relativeFrom="column">
              <wp:posOffset>4701540</wp:posOffset>
            </wp:positionH>
            <wp:positionV relativeFrom="paragraph">
              <wp:posOffset>81915</wp:posOffset>
            </wp:positionV>
            <wp:extent cx="942975" cy="363855"/>
            <wp:effectExtent l="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E20">
        <w:rPr>
          <w:rFonts w:ascii="Cambria" w:hAnsi="Cambria"/>
          <w:i/>
          <w:noProof/>
          <w:sz w:val="18"/>
        </w:rPr>
        <w:drawing>
          <wp:inline distT="0" distB="0" distL="0" distR="0" wp14:anchorId="0585BCF3" wp14:editId="76AE6016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85F83" w14:textId="77777777"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14:paraId="76F51D5F" w14:textId="77777777" w:rsidR="006050A4" w:rsidRPr="007D6ABF" w:rsidRDefault="00785C8D" w:rsidP="007D6ABF">
      <w:pPr>
        <w:jc w:val="center"/>
        <w:rPr>
          <w:rFonts w:asciiTheme="minorHAnsi" w:hAnsiTheme="minorHAnsi" w:cstheme="minorHAnsi"/>
          <w:color w:val="071D49"/>
          <w:sz w:val="32"/>
          <w:szCs w:val="32"/>
        </w:rPr>
      </w:pPr>
      <w:r w:rsidRPr="007D6ABF">
        <w:rPr>
          <w:rFonts w:asciiTheme="minorHAnsi" w:hAnsiTheme="minorHAnsi" w:cstheme="minorHAnsi"/>
          <w:noProof/>
          <w:color w:val="071D49"/>
          <w:spacing w:val="-20"/>
          <w:kern w:val="144"/>
          <w:sz w:val="32"/>
          <w:szCs w:val="32"/>
        </w:rPr>
        <w:t>Comunicato stampa</w:t>
      </w:r>
    </w:p>
    <w:p w14:paraId="3474BE39" w14:textId="77777777" w:rsidR="00997D99" w:rsidRPr="006F36E1" w:rsidRDefault="00997D99" w:rsidP="00AE614F">
      <w:pPr>
        <w:spacing w:after="120"/>
        <w:rPr>
          <w:rFonts w:ascii="Cambria" w:hAnsi="Cambria" w:cs="Arial"/>
          <w:b/>
          <w:sz w:val="36"/>
          <w:szCs w:val="36"/>
        </w:rPr>
      </w:pPr>
    </w:p>
    <w:p w14:paraId="7DB25C28" w14:textId="77777777" w:rsidR="00DE656F" w:rsidRPr="006F36E1" w:rsidRDefault="006F36E1" w:rsidP="00AE614F">
      <w:pPr>
        <w:spacing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F36E1">
        <w:rPr>
          <w:rFonts w:asciiTheme="minorHAnsi" w:hAnsiTheme="minorHAnsi" w:cstheme="minorHAnsi"/>
          <w:b/>
          <w:sz w:val="36"/>
          <w:szCs w:val="36"/>
        </w:rPr>
        <w:t>Indice dei</w:t>
      </w:r>
      <w:r w:rsidR="00717DEE" w:rsidRPr="006F36E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AE614F" w:rsidRPr="006F36E1">
        <w:rPr>
          <w:rFonts w:asciiTheme="minorHAnsi" w:hAnsiTheme="minorHAnsi" w:cstheme="minorHAnsi"/>
          <w:b/>
          <w:sz w:val="36"/>
          <w:szCs w:val="36"/>
        </w:rPr>
        <w:t xml:space="preserve">prezzi all’ingrosso di Aprile </w:t>
      </w:r>
    </w:p>
    <w:p w14:paraId="3E86675D" w14:textId="5AD853DC" w:rsidR="006F36E1" w:rsidRDefault="00D026AC" w:rsidP="00AE614F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Andamento ortofrutta e a</w:t>
      </w:r>
      <w:bookmarkStart w:id="0" w:name="_GoBack"/>
      <w:bookmarkEnd w:id="0"/>
      <w:r w:rsidR="006F36E1">
        <w:rPr>
          <w:rFonts w:asciiTheme="minorHAnsi" w:hAnsiTheme="minorHAnsi" w:cstheme="minorHAnsi"/>
          <w:b/>
          <w:sz w:val="32"/>
          <w:szCs w:val="32"/>
        </w:rPr>
        <w:t xml:space="preserve">groalimentare </w:t>
      </w:r>
    </w:p>
    <w:p w14:paraId="453825F0" w14:textId="77777777" w:rsidR="00AE614F" w:rsidRDefault="00AE614F" w:rsidP="00AE614F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6144926" w14:textId="4C0DAE3C" w:rsidR="00666789" w:rsidRDefault="00265E56" w:rsidP="00666789">
      <w:pPr>
        <w:spacing w:after="120" w:line="276" w:lineRule="auto"/>
        <w:contextualSpacing/>
        <w:rPr>
          <w:rFonts w:ascii="Calibri" w:hAnsi="Calibri" w:cs="Calibri"/>
          <w:color w:val="22222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Roma, 27 maggio 2020 . </w:t>
      </w:r>
      <w:r w:rsidR="00DE656F" w:rsidRPr="00DE656F">
        <w:rPr>
          <w:rFonts w:asciiTheme="minorHAnsi" w:hAnsiTheme="minorHAnsi" w:cstheme="minorHAnsi"/>
          <w:sz w:val="22"/>
          <w:szCs w:val="22"/>
        </w:rPr>
        <w:t xml:space="preserve">La campagna degli </w:t>
      </w:r>
      <w:r w:rsidR="00DE656F" w:rsidRPr="00666789">
        <w:rPr>
          <w:rFonts w:asciiTheme="minorHAnsi" w:hAnsiTheme="minorHAnsi" w:cstheme="minorHAnsi"/>
          <w:b/>
          <w:sz w:val="22"/>
          <w:szCs w:val="22"/>
        </w:rPr>
        <w:t xml:space="preserve">agrumi </w:t>
      </w:r>
      <w:r w:rsidR="00DE656F" w:rsidRPr="00DE656F">
        <w:rPr>
          <w:rFonts w:asciiTheme="minorHAnsi" w:hAnsiTheme="minorHAnsi" w:cstheme="minorHAnsi"/>
          <w:sz w:val="22"/>
          <w:szCs w:val="22"/>
        </w:rPr>
        <w:t xml:space="preserve">e dei </w:t>
      </w:r>
      <w:r w:rsidR="00DE656F" w:rsidRPr="00666789">
        <w:rPr>
          <w:rFonts w:asciiTheme="minorHAnsi" w:hAnsiTheme="minorHAnsi" w:cstheme="minorHAnsi"/>
          <w:sz w:val="22"/>
          <w:szCs w:val="22"/>
        </w:rPr>
        <w:t>frutti</w:t>
      </w:r>
      <w:r w:rsidR="00DE656F" w:rsidRPr="00DE656F">
        <w:rPr>
          <w:rFonts w:asciiTheme="minorHAnsi" w:hAnsiTheme="minorHAnsi" w:cstheme="minorHAnsi"/>
          <w:sz w:val="22"/>
          <w:szCs w:val="22"/>
        </w:rPr>
        <w:t xml:space="preserve"> raccolti lo scorso autunno </w:t>
      </w:r>
      <w:r w:rsidR="00DE656F">
        <w:rPr>
          <w:rFonts w:asciiTheme="minorHAnsi" w:hAnsiTheme="minorHAnsi" w:cstheme="minorHAnsi"/>
          <w:sz w:val="22"/>
          <w:szCs w:val="22"/>
        </w:rPr>
        <w:t xml:space="preserve">è quasi giunta al termine con </w:t>
      </w:r>
      <w:r w:rsidR="00DE656F" w:rsidRPr="007A69BE">
        <w:rPr>
          <w:rFonts w:ascii="Calibri" w:hAnsi="Calibri" w:cs="Calibri"/>
          <w:color w:val="222222"/>
          <w:sz w:val="22"/>
          <w:szCs w:val="22"/>
        </w:rPr>
        <w:t xml:space="preserve">prezzi all’ingrosso superiori all'anno precedente, </w:t>
      </w:r>
      <w:r w:rsidR="00DE656F">
        <w:rPr>
          <w:rFonts w:ascii="Calibri" w:hAnsi="Calibri" w:cs="Calibri"/>
          <w:color w:val="222222"/>
          <w:sz w:val="22"/>
          <w:szCs w:val="22"/>
        </w:rPr>
        <w:t>in particolare p</w:t>
      </w:r>
      <w:r w:rsidR="00DE656F" w:rsidRPr="007A69BE">
        <w:rPr>
          <w:rFonts w:ascii="Calibri" w:hAnsi="Calibri" w:cs="Calibri"/>
          <w:color w:val="222222"/>
          <w:sz w:val="22"/>
          <w:szCs w:val="22"/>
        </w:rPr>
        <w:t>er </w:t>
      </w:r>
      <w:r w:rsidR="00DE656F" w:rsidRPr="00666789">
        <w:rPr>
          <w:rFonts w:ascii="Calibri" w:hAnsi="Calibri" w:cs="Calibri"/>
          <w:b/>
          <w:color w:val="222222"/>
          <w:sz w:val="22"/>
          <w:szCs w:val="22"/>
        </w:rPr>
        <w:t>mele</w:t>
      </w:r>
      <w:r w:rsidR="00DE656F" w:rsidRPr="007A69BE">
        <w:rPr>
          <w:rFonts w:ascii="Calibri" w:hAnsi="Calibri" w:cs="Calibri"/>
          <w:color w:val="222222"/>
          <w:sz w:val="22"/>
          <w:szCs w:val="22"/>
        </w:rPr>
        <w:t> (+17,4%), </w:t>
      </w:r>
      <w:r w:rsidR="00DE656F" w:rsidRPr="00666789">
        <w:rPr>
          <w:rFonts w:ascii="Calibri" w:hAnsi="Calibri" w:cs="Calibri"/>
          <w:b/>
          <w:color w:val="222222"/>
          <w:sz w:val="22"/>
          <w:szCs w:val="22"/>
        </w:rPr>
        <w:t>pere</w:t>
      </w:r>
      <w:r w:rsidR="00DE656F" w:rsidRPr="007A69BE">
        <w:rPr>
          <w:rFonts w:ascii="Calibri" w:hAnsi="Calibri" w:cs="Calibri"/>
          <w:color w:val="222222"/>
          <w:sz w:val="22"/>
          <w:szCs w:val="22"/>
        </w:rPr>
        <w:t> (+26,0%) e </w:t>
      </w:r>
      <w:r w:rsidR="00DE656F" w:rsidRPr="00666789">
        <w:rPr>
          <w:rFonts w:ascii="Calibri" w:hAnsi="Calibri" w:cs="Calibri"/>
          <w:b/>
          <w:color w:val="222222"/>
          <w:sz w:val="22"/>
          <w:szCs w:val="22"/>
        </w:rPr>
        <w:t>kiwi</w:t>
      </w:r>
      <w:r w:rsidR="00DE656F" w:rsidRPr="007A69BE">
        <w:rPr>
          <w:rFonts w:ascii="Calibri" w:hAnsi="Calibri" w:cs="Calibri"/>
          <w:color w:val="222222"/>
          <w:sz w:val="22"/>
          <w:szCs w:val="22"/>
        </w:rPr>
        <w:t> (+29,7%).</w:t>
      </w:r>
      <w:r w:rsidR="00DE656F">
        <w:rPr>
          <w:rFonts w:ascii="Calibri" w:hAnsi="Calibri" w:cs="Calibri"/>
          <w:color w:val="222222"/>
          <w:sz w:val="22"/>
          <w:szCs w:val="22"/>
        </w:rPr>
        <w:t xml:space="preserve"> Contemporaneamente </w:t>
      </w:r>
      <w:r w:rsidR="00DE656F" w:rsidRPr="007A69BE">
        <w:rPr>
          <w:rFonts w:ascii="Calibri" w:hAnsi="Calibri" w:cs="Calibri"/>
          <w:color w:val="222222"/>
          <w:sz w:val="22"/>
          <w:szCs w:val="22"/>
        </w:rPr>
        <w:t>sul mercato sono già disponibili le prime produzioni prim</w:t>
      </w:r>
      <w:r w:rsidR="00DE656F">
        <w:rPr>
          <w:rFonts w:ascii="Calibri" w:hAnsi="Calibri" w:cs="Calibri"/>
          <w:color w:val="222222"/>
          <w:sz w:val="22"/>
          <w:szCs w:val="22"/>
        </w:rPr>
        <w:t>averili ed estive di </w:t>
      </w:r>
      <w:r w:rsidR="00DE656F" w:rsidRPr="00666789">
        <w:rPr>
          <w:rFonts w:ascii="Calibri" w:hAnsi="Calibri" w:cs="Calibri"/>
          <w:b/>
          <w:color w:val="222222"/>
          <w:sz w:val="22"/>
          <w:szCs w:val="22"/>
        </w:rPr>
        <w:t>ciliegie</w:t>
      </w:r>
      <w:r w:rsidR="00DE656F">
        <w:rPr>
          <w:rFonts w:ascii="Calibri" w:hAnsi="Calibri" w:cs="Calibri"/>
          <w:color w:val="222222"/>
          <w:sz w:val="22"/>
          <w:szCs w:val="22"/>
        </w:rPr>
        <w:t xml:space="preserve">, </w:t>
      </w:r>
      <w:r w:rsidR="00DE656F" w:rsidRPr="00666789">
        <w:rPr>
          <w:rFonts w:ascii="Calibri" w:hAnsi="Calibri" w:cs="Calibri"/>
          <w:b/>
          <w:color w:val="222222"/>
          <w:sz w:val="22"/>
          <w:szCs w:val="22"/>
        </w:rPr>
        <w:t>albicocche</w:t>
      </w:r>
      <w:r w:rsidR="00DE656F">
        <w:rPr>
          <w:rFonts w:ascii="Calibri" w:hAnsi="Calibri" w:cs="Calibri"/>
          <w:color w:val="222222"/>
          <w:sz w:val="22"/>
          <w:szCs w:val="22"/>
        </w:rPr>
        <w:t xml:space="preserve"> nonché </w:t>
      </w:r>
      <w:r w:rsidR="00DE656F" w:rsidRPr="007A69BE">
        <w:rPr>
          <w:rFonts w:ascii="Calibri" w:hAnsi="Calibri" w:cs="Calibri"/>
          <w:color w:val="222222"/>
          <w:sz w:val="22"/>
          <w:szCs w:val="22"/>
        </w:rPr>
        <w:t>i primi </w:t>
      </w:r>
      <w:r w:rsidR="00DE656F" w:rsidRPr="00666789">
        <w:rPr>
          <w:rFonts w:ascii="Calibri" w:hAnsi="Calibri" w:cs="Calibri"/>
          <w:b/>
          <w:color w:val="222222"/>
          <w:sz w:val="22"/>
          <w:szCs w:val="22"/>
        </w:rPr>
        <w:t>meloni</w:t>
      </w:r>
      <w:r w:rsidR="00DE656F">
        <w:rPr>
          <w:rFonts w:ascii="Calibri" w:hAnsi="Calibri" w:cs="Calibri"/>
          <w:color w:val="222222"/>
          <w:sz w:val="22"/>
          <w:szCs w:val="22"/>
        </w:rPr>
        <w:t xml:space="preserve">. </w:t>
      </w:r>
      <w:r w:rsidR="00DE656F" w:rsidRPr="007A69BE">
        <w:rPr>
          <w:rFonts w:ascii="Calibri" w:hAnsi="Calibri" w:cs="Calibri"/>
          <w:color w:val="222222"/>
          <w:sz w:val="22"/>
          <w:szCs w:val="22"/>
        </w:rPr>
        <w:t>La </w:t>
      </w:r>
      <w:r w:rsidR="00DE656F" w:rsidRPr="00666789">
        <w:rPr>
          <w:rFonts w:ascii="Calibri" w:hAnsi="Calibri" w:cs="Calibri"/>
          <w:b/>
          <w:color w:val="222222"/>
          <w:sz w:val="22"/>
          <w:szCs w:val="22"/>
        </w:rPr>
        <w:t>fragola</w:t>
      </w:r>
      <w:r w:rsidR="00DE656F" w:rsidRPr="007A69BE">
        <w:rPr>
          <w:rFonts w:ascii="Calibri" w:hAnsi="Calibri" w:cs="Calibri"/>
          <w:color w:val="222222"/>
          <w:sz w:val="22"/>
          <w:szCs w:val="22"/>
        </w:rPr>
        <w:t xml:space="preserve">, </w:t>
      </w:r>
      <w:r w:rsidR="00FE31EA">
        <w:rPr>
          <w:rFonts w:ascii="Calibri" w:hAnsi="Calibri" w:cs="Calibri"/>
          <w:color w:val="222222"/>
          <w:sz w:val="22"/>
          <w:szCs w:val="22"/>
        </w:rPr>
        <w:t>di buona qualità e molto richiesta</w:t>
      </w:r>
      <w:r w:rsidR="00DE656F">
        <w:rPr>
          <w:rFonts w:ascii="Calibri" w:hAnsi="Calibri" w:cs="Calibri"/>
          <w:color w:val="222222"/>
          <w:sz w:val="22"/>
          <w:szCs w:val="22"/>
        </w:rPr>
        <w:t xml:space="preserve">, </w:t>
      </w:r>
      <w:r w:rsidR="00FE31EA">
        <w:rPr>
          <w:rFonts w:ascii="Calibri" w:hAnsi="Calibri" w:cs="Calibri"/>
          <w:color w:val="222222"/>
          <w:sz w:val="22"/>
          <w:szCs w:val="22"/>
        </w:rPr>
        <w:t>ha registrato</w:t>
      </w:r>
      <w:r w:rsidR="00DE656F">
        <w:rPr>
          <w:rFonts w:ascii="Calibri" w:hAnsi="Calibri" w:cs="Calibri"/>
          <w:color w:val="222222"/>
          <w:sz w:val="22"/>
          <w:szCs w:val="22"/>
        </w:rPr>
        <w:t xml:space="preserve"> prezzi superiori del </w:t>
      </w:r>
      <w:r w:rsidR="00DE656F" w:rsidRPr="00572851">
        <w:rPr>
          <w:rFonts w:ascii="Calibri" w:hAnsi="Calibri" w:cs="Calibri"/>
          <w:color w:val="222222"/>
          <w:sz w:val="22"/>
          <w:szCs w:val="22"/>
        </w:rPr>
        <w:t>+25,9% rispetto all'anno scorso. </w:t>
      </w:r>
      <w:r w:rsidR="00DE656F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390A8E">
        <w:rPr>
          <w:rFonts w:asciiTheme="minorHAnsi" w:hAnsiTheme="minorHAnsi" w:cstheme="minorHAnsi"/>
          <w:sz w:val="22"/>
          <w:szCs w:val="22"/>
        </w:rPr>
        <w:t>Questo è quanto</w:t>
      </w:r>
      <w:r w:rsidR="00DE656F" w:rsidRPr="00434150">
        <w:rPr>
          <w:rFonts w:asciiTheme="minorHAnsi" w:hAnsiTheme="minorHAnsi" w:cstheme="minorHAnsi"/>
          <w:sz w:val="22"/>
          <w:szCs w:val="22"/>
        </w:rPr>
        <w:t xml:space="preserve"> emerge dall’analisi dell’indice mensile elaborato da </w:t>
      </w:r>
      <w:r w:rsidR="00DE656F" w:rsidRPr="00434150">
        <w:rPr>
          <w:rFonts w:asciiTheme="minorHAnsi" w:hAnsiTheme="minorHAnsi" w:cstheme="minorHAnsi"/>
          <w:b/>
          <w:bCs/>
          <w:sz w:val="22"/>
          <w:szCs w:val="22"/>
        </w:rPr>
        <w:t>Unioncamere</w:t>
      </w:r>
      <w:r w:rsidR="00DE656F" w:rsidRPr="00434150">
        <w:rPr>
          <w:rFonts w:asciiTheme="minorHAnsi" w:hAnsiTheme="minorHAnsi" w:cstheme="minorHAnsi"/>
          <w:sz w:val="22"/>
          <w:szCs w:val="22"/>
        </w:rPr>
        <w:t xml:space="preserve"> e </w:t>
      </w:r>
      <w:r w:rsidR="00DE656F" w:rsidRPr="00434150">
        <w:rPr>
          <w:rFonts w:asciiTheme="minorHAnsi" w:hAnsiTheme="minorHAnsi" w:cstheme="minorHAnsi"/>
          <w:b/>
          <w:bCs/>
          <w:sz w:val="22"/>
          <w:szCs w:val="22"/>
        </w:rPr>
        <w:t>BMTI</w:t>
      </w:r>
      <w:r w:rsidR="00DE656F" w:rsidRPr="0043415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E656F" w:rsidRPr="00434150">
        <w:rPr>
          <w:rFonts w:asciiTheme="minorHAnsi" w:hAnsiTheme="minorHAnsi" w:cstheme="minorHAnsi"/>
          <w:sz w:val="22"/>
          <w:szCs w:val="22"/>
        </w:rPr>
        <w:t>a partire dai</w:t>
      </w:r>
      <w:proofErr w:type="gramEnd"/>
      <w:r w:rsidR="00DE656F" w:rsidRPr="00434150">
        <w:rPr>
          <w:rFonts w:asciiTheme="minorHAnsi" w:hAnsiTheme="minorHAnsi" w:cstheme="minorHAnsi"/>
          <w:sz w:val="22"/>
          <w:szCs w:val="22"/>
        </w:rPr>
        <w:t xml:space="preserve"> prezzi rilevati dai Mercati all’ingrosso e dalle Camere di commercio </w:t>
      </w:r>
      <w:r w:rsidR="00412AAC">
        <w:rPr>
          <w:rFonts w:asciiTheme="minorHAnsi" w:hAnsiTheme="minorHAnsi" w:cstheme="minorHAnsi"/>
          <w:sz w:val="22"/>
          <w:szCs w:val="22"/>
        </w:rPr>
        <w:t>che</w:t>
      </w:r>
      <w:r w:rsidR="00E579FE">
        <w:rPr>
          <w:rFonts w:asciiTheme="minorHAnsi" w:hAnsiTheme="minorHAnsi" w:cstheme="minorHAnsi"/>
          <w:sz w:val="22"/>
          <w:szCs w:val="22"/>
        </w:rPr>
        <w:t>,</w:t>
      </w:r>
      <w:r w:rsidR="00DE656F" w:rsidRPr="00434150">
        <w:rPr>
          <w:rFonts w:asciiTheme="minorHAnsi" w:hAnsiTheme="minorHAnsi" w:cstheme="minorHAnsi"/>
          <w:sz w:val="22"/>
          <w:szCs w:val="22"/>
        </w:rPr>
        <w:t xml:space="preserve"> da </w:t>
      </w:r>
      <w:r w:rsidR="00E579FE">
        <w:rPr>
          <w:rFonts w:asciiTheme="minorHAnsi" w:hAnsiTheme="minorHAnsi" w:cstheme="minorHAnsi"/>
          <w:sz w:val="22"/>
          <w:szCs w:val="22"/>
        </w:rPr>
        <w:t>M</w:t>
      </w:r>
      <w:r w:rsidR="00DE656F">
        <w:rPr>
          <w:rFonts w:asciiTheme="minorHAnsi" w:hAnsiTheme="minorHAnsi" w:cstheme="minorHAnsi"/>
          <w:sz w:val="22"/>
          <w:szCs w:val="22"/>
        </w:rPr>
        <w:t>aggio</w:t>
      </w:r>
      <w:r w:rsidR="00E579FE">
        <w:rPr>
          <w:rFonts w:asciiTheme="minorHAnsi" w:hAnsiTheme="minorHAnsi" w:cstheme="minorHAnsi"/>
          <w:sz w:val="22"/>
          <w:szCs w:val="22"/>
        </w:rPr>
        <w:t>,</w:t>
      </w:r>
      <w:r w:rsidR="00DE656F" w:rsidRPr="00434150">
        <w:rPr>
          <w:rFonts w:asciiTheme="minorHAnsi" w:hAnsiTheme="minorHAnsi" w:cstheme="minorHAnsi"/>
          <w:sz w:val="22"/>
          <w:szCs w:val="22"/>
        </w:rPr>
        <w:t xml:space="preserve"> </w:t>
      </w:r>
      <w:r w:rsidR="00412AAC">
        <w:rPr>
          <w:rFonts w:asciiTheme="minorHAnsi" w:hAnsiTheme="minorHAnsi" w:cstheme="minorHAnsi"/>
          <w:sz w:val="22"/>
          <w:szCs w:val="22"/>
        </w:rPr>
        <w:t xml:space="preserve">coinvolge anche il </w:t>
      </w:r>
      <w:r w:rsidR="00DE656F" w:rsidRPr="00434150">
        <w:rPr>
          <w:rFonts w:asciiTheme="minorHAnsi" w:hAnsiTheme="minorHAnsi" w:cstheme="minorHAnsi"/>
          <w:sz w:val="22"/>
          <w:szCs w:val="22"/>
        </w:rPr>
        <w:t>comparto dell’ortofrutta</w:t>
      </w:r>
      <w:r w:rsidR="00DE656F">
        <w:rPr>
          <w:rFonts w:asciiTheme="minorHAnsi" w:hAnsiTheme="minorHAnsi" w:cstheme="minorHAnsi"/>
          <w:sz w:val="22"/>
          <w:szCs w:val="22"/>
        </w:rPr>
        <w:t>.</w:t>
      </w:r>
      <w:r w:rsidR="00666789">
        <w:rPr>
          <w:rFonts w:asciiTheme="minorHAnsi" w:hAnsiTheme="minorHAnsi" w:cstheme="minorHAnsi"/>
          <w:sz w:val="22"/>
          <w:szCs w:val="22"/>
        </w:rPr>
        <w:t xml:space="preserve"> </w:t>
      </w:r>
      <w:r w:rsidR="00666789" w:rsidRPr="007A69BE">
        <w:rPr>
          <w:rFonts w:ascii="Calibri" w:hAnsi="Calibri" w:cs="Calibri"/>
          <w:color w:val="222222"/>
          <w:sz w:val="22"/>
          <w:szCs w:val="22"/>
        </w:rPr>
        <w:t xml:space="preserve">Per gli </w:t>
      </w:r>
      <w:r w:rsidR="00666789" w:rsidRPr="000A7DEA">
        <w:rPr>
          <w:rFonts w:ascii="Calibri" w:hAnsi="Calibri" w:cs="Calibri"/>
          <w:b/>
          <w:color w:val="222222"/>
          <w:sz w:val="22"/>
          <w:szCs w:val="22"/>
        </w:rPr>
        <w:t>ortaggi</w:t>
      </w:r>
      <w:r w:rsidR="00666789">
        <w:rPr>
          <w:rFonts w:ascii="Calibri" w:hAnsi="Calibri" w:cs="Calibri"/>
          <w:color w:val="222222"/>
          <w:sz w:val="22"/>
          <w:szCs w:val="22"/>
        </w:rPr>
        <w:t>,</w:t>
      </w:r>
      <w:r w:rsidR="00666789" w:rsidRPr="007A69BE">
        <w:rPr>
          <w:rFonts w:ascii="Calibri" w:hAnsi="Calibri" w:cs="Calibri"/>
          <w:color w:val="222222"/>
          <w:sz w:val="22"/>
          <w:szCs w:val="22"/>
        </w:rPr>
        <w:t xml:space="preserve"> si osservano </w:t>
      </w:r>
      <w:r w:rsidR="00412AAC">
        <w:rPr>
          <w:rFonts w:ascii="Calibri" w:hAnsi="Calibri" w:cs="Calibri"/>
          <w:color w:val="222222"/>
          <w:sz w:val="22"/>
          <w:szCs w:val="22"/>
        </w:rPr>
        <w:t>oscillazioni</w:t>
      </w:r>
      <w:r w:rsidR="00666789" w:rsidRPr="007A69BE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390A8E">
        <w:rPr>
          <w:rFonts w:ascii="Calibri" w:hAnsi="Calibri" w:cs="Calibri"/>
          <w:color w:val="222222"/>
          <w:sz w:val="22"/>
          <w:szCs w:val="22"/>
        </w:rPr>
        <w:t xml:space="preserve">dovute alla </w:t>
      </w:r>
      <w:r w:rsidR="00412AAC">
        <w:rPr>
          <w:rFonts w:ascii="Calibri" w:hAnsi="Calibri" w:cs="Calibri"/>
          <w:color w:val="222222"/>
          <w:sz w:val="22"/>
          <w:szCs w:val="22"/>
        </w:rPr>
        <w:t>fine</w:t>
      </w:r>
      <w:r w:rsidR="00390A8E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666789" w:rsidRPr="007A69BE">
        <w:rPr>
          <w:rFonts w:ascii="Calibri" w:hAnsi="Calibri" w:cs="Calibri"/>
          <w:color w:val="222222"/>
          <w:sz w:val="22"/>
          <w:szCs w:val="22"/>
        </w:rPr>
        <w:t xml:space="preserve">della produzione nelle aree centro meridionali del nostro paese e </w:t>
      </w:r>
      <w:r w:rsidR="00666789">
        <w:rPr>
          <w:rFonts w:ascii="Calibri" w:hAnsi="Calibri" w:cs="Calibri"/>
          <w:color w:val="222222"/>
          <w:sz w:val="22"/>
          <w:szCs w:val="22"/>
        </w:rPr>
        <w:t xml:space="preserve">all’inizio della produzione </w:t>
      </w:r>
      <w:r w:rsidR="00666789" w:rsidRPr="007A69BE">
        <w:rPr>
          <w:rFonts w:ascii="Calibri" w:hAnsi="Calibri" w:cs="Calibri"/>
          <w:color w:val="222222"/>
          <w:sz w:val="22"/>
          <w:szCs w:val="22"/>
        </w:rPr>
        <w:t xml:space="preserve">nelle regioni settentrionali. In generale, </w:t>
      </w:r>
      <w:r w:rsidR="00666789">
        <w:rPr>
          <w:rFonts w:ascii="Calibri" w:hAnsi="Calibri" w:cs="Calibri"/>
          <w:color w:val="222222"/>
          <w:sz w:val="22"/>
          <w:szCs w:val="22"/>
        </w:rPr>
        <w:t>il clima</w:t>
      </w:r>
      <w:r w:rsidR="00666789" w:rsidRPr="007A69BE">
        <w:rPr>
          <w:rFonts w:ascii="Calibri" w:hAnsi="Calibri" w:cs="Calibri"/>
          <w:color w:val="222222"/>
          <w:sz w:val="22"/>
          <w:szCs w:val="22"/>
        </w:rPr>
        <w:t xml:space="preserve"> mite</w:t>
      </w:r>
      <w:r w:rsidR="00666789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390A8E">
        <w:rPr>
          <w:rFonts w:ascii="Calibri" w:hAnsi="Calibri" w:cs="Calibri"/>
          <w:color w:val="222222"/>
          <w:sz w:val="22"/>
          <w:szCs w:val="22"/>
        </w:rPr>
        <w:t xml:space="preserve">ha favorito </w:t>
      </w:r>
      <w:r w:rsidR="00666789">
        <w:rPr>
          <w:rFonts w:ascii="Calibri" w:hAnsi="Calibri" w:cs="Calibri"/>
          <w:color w:val="222222"/>
          <w:sz w:val="22"/>
          <w:szCs w:val="22"/>
        </w:rPr>
        <w:t>la produzione</w:t>
      </w:r>
      <w:proofErr w:type="gramStart"/>
      <w:r w:rsidR="00666789" w:rsidRPr="007A69BE">
        <w:rPr>
          <w:rFonts w:ascii="Calibri" w:hAnsi="Calibri" w:cs="Calibri"/>
          <w:color w:val="222222"/>
          <w:sz w:val="22"/>
          <w:szCs w:val="22"/>
        </w:rPr>
        <w:t xml:space="preserve">  </w:t>
      </w:r>
      <w:proofErr w:type="gramEnd"/>
      <w:r w:rsidR="00390A8E">
        <w:rPr>
          <w:rFonts w:ascii="Calibri" w:hAnsi="Calibri" w:cs="Calibri"/>
          <w:color w:val="222222"/>
          <w:sz w:val="22"/>
          <w:szCs w:val="22"/>
        </w:rPr>
        <w:t>facendo registrare</w:t>
      </w:r>
      <w:r w:rsidR="00666789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390A8E">
        <w:rPr>
          <w:rFonts w:ascii="Calibri" w:hAnsi="Calibri" w:cs="Calibri"/>
          <w:color w:val="222222"/>
          <w:sz w:val="22"/>
          <w:szCs w:val="22"/>
        </w:rPr>
        <w:t>ribassi</w:t>
      </w:r>
      <w:r w:rsidR="00666789">
        <w:rPr>
          <w:rFonts w:ascii="Calibri" w:hAnsi="Calibri" w:cs="Calibri"/>
          <w:color w:val="222222"/>
          <w:sz w:val="22"/>
          <w:szCs w:val="22"/>
        </w:rPr>
        <w:t xml:space="preserve"> per la maggior parte dei prodotti ad eccezione delle </w:t>
      </w:r>
      <w:r w:rsidR="00666789" w:rsidRPr="007A69BE">
        <w:rPr>
          <w:rFonts w:ascii="Calibri" w:hAnsi="Calibri" w:cs="Calibri"/>
          <w:color w:val="222222"/>
          <w:sz w:val="22"/>
          <w:szCs w:val="22"/>
        </w:rPr>
        <w:t>varie tipologie di cavolo</w:t>
      </w:r>
      <w:r w:rsidR="00E579FE">
        <w:rPr>
          <w:rFonts w:ascii="Calibri" w:hAnsi="Calibri" w:cs="Calibri"/>
          <w:color w:val="222222"/>
          <w:sz w:val="22"/>
          <w:szCs w:val="22"/>
        </w:rPr>
        <w:t>.</w:t>
      </w:r>
      <w:r w:rsidR="00666789" w:rsidRPr="007A69BE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E579FE">
        <w:rPr>
          <w:rFonts w:ascii="Calibri" w:hAnsi="Calibri" w:cs="Calibri"/>
          <w:color w:val="222222"/>
          <w:sz w:val="22"/>
          <w:szCs w:val="22"/>
        </w:rPr>
        <w:t>In questo caso</w:t>
      </w:r>
      <w:r w:rsidR="00412AAC">
        <w:rPr>
          <w:rStyle w:val="Rimandocommento"/>
        </w:rPr>
        <w:t xml:space="preserve">, </w:t>
      </w:r>
      <w:r w:rsidR="00412AAC" w:rsidRPr="00412AAC">
        <w:rPr>
          <w:rFonts w:asciiTheme="minorHAnsi" w:hAnsiTheme="minorHAnsi" w:cstheme="minorHAnsi"/>
          <w:sz w:val="22"/>
          <w:szCs w:val="22"/>
        </w:rPr>
        <w:t xml:space="preserve">infatti, </w:t>
      </w:r>
      <w:r w:rsidR="00E579FE" w:rsidRPr="00412AAC">
        <w:rPr>
          <w:rFonts w:asciiTheme="minorHAnsi" w:hAnsiTheme="minorHAnsi" w:cstheme="minorHAnsi"/>
          <w:sz w:val="22"/>
          <w:szCs w:val="22"/>
        </w:rPr>
        <w:t xml:space="preserve">la </w:t>
      </w:r>
      <w:r w:rsidR="00666789" w:rsidRPr="00412AAC">
        <w:rPr>
          <w:rFonts w:asciiTheme="minorHAnsi" w:hAnsiTheme="minorHAnsi" w:cstheme="minorHAnsi"/>
          <w:sz w:val="22"/>
          <w:szCs w:val="22"/>
        </w:rPr>
        <w:t>produzione</w:t>
      </w:r>
      <w:r w:rsidR="00E506AB">
        <w:rPr>
          <w:rFonts w:ascii="Calibri" w:hAnsi="Calibri" w:cs="Calibri"/>
          <w:color w:val="222222"/>
          <w:sz w:val="22"/>
          <w:szCs w:val="22"/>
        </w:rPr>
        <w:t xml:space="preserve"> è </w:t>
      </w:r>
      <w:proofErr w:type="spellStart"/>
      <w:r w:rsidR="00E506AB">
        <w:rPr>
          <w:rFonts w:ascii="Calibri" w:hAnsi="Calibri" w:cs="Calibri"/>
          <w:color w:val="222222"/>
          <w:sz w:val="22"/>
          <w:szCs w:val="22"/>
        </w:rPr>
        <w:t>inziata</w:t>
      </w:r>
      <w:proofErr w:type="spellEnd"/>
      <w:r w:rsidR="00E506AB">
        <w:rPr>
          <w:rFonts w:ascii="Calibri" w:hAnsi="Calibri" w:cs="Calibri"/>
          <w:color w:val="222222"/>
          <w:sz w:val="22"/>
          <w:szCs w:val="22"/>
        </w:rPr>
        <w:t xml:space="preserve"> in anticipo</w:t>
      </w:r>
      <w:r w:rsidR="00666789" w:rsidRPr="007A69BE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666789">
        <w:rPr>
          <w:rFonts w:ascii="Calibri" w:hAnsi="Calibri" w:cs="Calibri"/>
          <w:color w:val="222222"/>
          <w:sz w:val="22"/>
          <w:szCs w:val="22"/>
        </w:rPr>
        <w:t>portando scarsità di prodotto nel</w:t>
      </w:r>
      <w:r w:rsidR="00E579FE">
        <w:rPr>
          <w:rFonts w:ascii="Calibri" w:hAnsi="Calibri" w:cs="Calibri"/>
          <w:color w:val="222222"/>
          <w:sz w:val="22"/>
          <w:szCs w:val="22"/>
        </w:rPr>
        <w:t xml:space="preserve"> mese di A</w:t>
      </w:r>
      <w:r w:rsidR="00666789" w:rsidRPr="007A69BE">
        <w:rPr>
          <w:rFonts w:ascii="Calibri" w:hAnsi="Calibri" w:cs="Calibri"/>
          <w:color w:val="222222"/>
          <w:sz w:val="22"/>
          <w:szCs w:val="22"/>
        </w:rPr>
        <w:t xml:space="preserve">prile </w:t>
      </w:r>
      <w:r w:rsidR="00390A8E">
        <w:rPr>
          <w:rFonts w:ascii="Calibri" w:hAnsi="Calibri" w:cs="Calibri"/>
          <w:color w:val="222222"/>
          <w:sz w:val="22"/>
          <w:szCs w:val="22"/>
        </w:rPr>
        <w:t>e</w:t>
      </w:r>
      <w:r w:rsidR="00666789" w:rsidRPr="007A69BE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666789">
        <w:rPr>
          <w:rFonts w:ascii="Calibri" w:hAnsi="Calibri" w:cs="Calibri"/>
          <w:color w:val="222222"/>
          <w:sz w:val="22"/>
          <w:szCs w:val="22"/>
        </w:rPr>
        <w:t xml:space="preserve">un </w:t>
      </w:r>
      <w:r w:rsidR="00666789" w:rsidRPr="007A69BE">
        <w:rPr>
          <w:rFonts w:ascii="Calibri" w:hAnsi="Calibri" w:cs="Calibri"/>
          <w:color w:val="222222"/>
          <w:sz w:val="22"/>
          <w:szCs w:val="22"/>
        </w:rPr>
        <w:t>conseguente incremento de</w:t>
      </w:r>
      <w:r w:rsidR="00666789">
        <w:rPr>
          <w:rFonts w:ascii="Calibri" w:hAnsi="Calibri" w:cs="Calibri"/>
          <w:color w:val="222222"/>
          <w:sz w:val="22"/>
          <w:szCs w:val="22"/>
        </w:rPr>
        <w:t>i prezzi all’ingrosso</w:t>
      </w:r>
      <w:r w:rsidR="00666789" w:rsidRPr="007A69BE">
        <w:rPr>
          <w:rFonts w:ascii="Calibri" w:hAnsi="Calibri" w:cs="Calibri"/>
          <w:color w:val="222222"/>
          <w:sz w:val="22"/>
          <w:szCs w:val="22"/>
        </w:rPr>
        <w:t xml:space="preserve">, </w:t>
      </w:r>
      <w:r w:rsidR="00666789">
        <w:rPr>
          <w:rFonts w:ascii="Calibri" w:hAnsi="Calibri" w:cs="Calibri"/>
          <w:color w:val="222222"/>
          <w:sz w:val="22"/>
          <w:szCs w:val="22"/>
        </w:rPr>
        <w:t>in particolare per</w:t>
      </w:r>
      <w:r w:rsidR="00666789" w:rsidRPr="007A69BE">
        <w:rPr>
          <w:rFonts w:ascii="Calibri" w:hAnsi="Calibri" w:cs="Calibri"/>
          <w:color w:val="222222"/>
          <w:sz w:val="22"/>
          <w:szCs w:val="22"/>
        </w:rPr>
        <w:t> </w:t>
      </w:r>
      <w:r w:rsidR="00666789" w:rsidRPr="00666789">
        <w:rPr>
          <w:rFonts w:ascii="Calibri" w:hAnsi="Calibri" w:cs="Calibri"/>
          <w:b/>
          <w:color w:val="222222"/>
          <w:sz w:val="22"/>
          <w:szCs w:val="22"/>
        </w:rPr>
        <w:t>cavolfiori</w:t>
      </w:r>
      <w:r w:rsidR="00666789" w:rsidRPr="007A69BE">
        <w:rPr>
          <w:rFonts w:ascii="Calibri" w:hAnsi="Calibri" w:cs="Calibri"/>
          <w:color w:val="222222"/>
          <w:sz w:val="22"/>
          <w:szCs w:val="22"/>
        </w:rPr>
        <w:t> (+93,1% rispetto all'anno scorso) e </w:t>
      </w:r>
      <w:r w:rsidR="00666789" w:rsidRPr="00666789">
        <w:rPr>
          <w:rFonts w:ascii="Calibri" w:hAnsi="Calibri" w:cs="Calibri"/>
          <w:b/>
          <w:color w:val="222222"/>
          <w:sz w:val="22"/>
          <w:szCs w:val="22"/>
        </w:rPr>
        <w:t>cavoli broccoli</w:t>
      </w:r>
      <w:r w:rsidR="00666789" w:rsidRPr="007A69BE">
        <w:rPr>
          <w:rFonts w:ascii="Calibri" w:hAnsi="Calibri" w:cs="Calibri"/>
          <w:color w:val="222222"/>
          <w:sz w:val="22"/>
          <w:szCs w:val="22"/>
        </w:rPr>
        <w:t xml:space="preserve"> (+54,5% rispetto all'anno scorso). </w:t>
      </w:r>
    </w:p>
    <w:p w14:paraId="2346EBEE" w14:textId="77777777" w:rsidR="00390A8E" w:rsidRDefault="000A7DEA" w:rsidP="000A7DEA">
      <w:pPr>
        <w:spacing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95AD4">
        <w:rPr>
          <w:rFonts w:asciiTheme="minorHAnsi" w:hAnsiTheme="minorHAnsi" w:cstheme="minorHAnsi"/>
          <w:sz w:val="22"/>
          <w:szCs w:val="22"/>
        </w:rPr>
        <w:t>Negli altri comparti dell’agroalimentare</w:t>
      </w:r>
      <w:r>
        <w:rPr>
          <w:rFonts w:asciiTheme="minorHAnsi" w:hAnsiTheme="minorHAnsi" w:cstheme="minorHAnsi"/>
          <w:sz w:val="22"/>
          <w:szCs w:val="22"/>
        </w:rPr>
        <w:t>, nel mese di Aprile si sono registrati</w:t>
      </w:r>
      <w:r w:rsidRPr="00895AD4">
        <w:rPr>
          <w:rFonts w:asciiTheme="minorHAnsi" w:hAnsiTheme="minorHAnsi" w:cstheme="minorHAnsi"/>
          <w:sz w:val="22"/>
          <w:szCs w:val="22"/>
        </w:rPr>
        <w:t xml:space="preserve"> ribassi per i </w:t>
      </w:r>
      <w:proofErr w:type="gramStart"/>
      <w:r w:rsidRPr="00895AD4">
        <w:rPr>
          <w:rFonts w:asciiTheme="minorHAnsi" w:hAnsiTheme="minorHAnsi" w:cstheme="minorHAnsi"/>
          <w:sz w:val="22"/>
          <w:szCs w:val="22"/>
        </w:rPr>
        <w:t>prezzi</w:t>
      </w:r>
      <w:proofErr w:type="gramEnd"/>
      <w:r w:rsidRPr="00895AD4">
        <w:rPr>
          <w:rFonts w:asciiTheme="minorHAnsi" w:hAnsiTheme="minorHAnsi" w:cstheme="minorHAnsi"/>
          <w:sz w:val="22"/>
          <w:szCs w:val="22"/>
        </w:rPr>
        <w:t xml:space="preserve"> all’ingrosso delle </w:t>
      </w:r>
      <w:r w:rsidRPr="000A7DEA">
        <w:rPr>
          <w:rFonts w:asciiTheme="minorHAnsi" w:hAnsiTheme="minorHAnsi" w:cstheme="minorHAnsi"/>
          <w:b/>
          <w:sz w:val="22"/>
          <w:szCs w:val="22"/>
        </w:rPr>
        <w:t>carni</w:t>
      </w:r>
      <w:r w:rsidR="00390A8E">
        <w:rPr>
          <w:rFonts w:asciiTheme="minorHAnsi" w:hAnsiTheme="minorHAnsi" w:cstheme="minorHAnsi"/>
          <w:sz w:val="22"/>
          <w:szCs w:val="22"/>
        </w:rPr>
        <w:t xml:space="preserve">, in particolare </w:t>
      </w:r>
      <w:r>
        <w:rPr>
          <w:rFonts w:asciiTheme="minorHAnsi" w:hAnsiTheme="minorHAnsi" w:cstheme="minorHAnsi"/>
          <w:sz w:val="22"/>
          <w:szCs w:val="22"/>
        </w:rPr>
        <w:t>per le carni avicole (-</w:t>
      </w:r>
      <w:r w:rsidRPr="00895AD4">
        <w:rPr>
          <w:rFonts w:asciiTheme="minorHAnsi" w:hAnsiTheme="minorHAnsi" w:cstheme="minorHAnsi"/>
          <w:sz w:val="22"/>
          <w:szCs w:val="22"/>
        </w:rPr>
        <w:t>12,7% per le carni di pollo e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895AD4">
        <w:rPr>
          <w:rFonts w:asciiTheme="minorHAnsi" w:hAnsiTheme="minorHAnsi" w:cstheme="minorHAnsi"/>
          <w:sz w:val="22"/>
          <w:szCs w:val="22"/>
        </w:rPr>
        <w:t xml:space="preserve"> 7,8% per le carni di tacchino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390A8E">
        <w:rPr>
          <w:rFonts w:asciiTheme="minorHAnsi" w:hAnsiTheme="minorHAnsi" w:cstheme="minorHAnsi"/>
          <w:sz w:val="22"/>
          <w:szCs w:val="22"/>
        </w:rPr>
        <w:t xml:space="preserve">e </w:t>
      </w:r>
      <w:r w:rsidR="00390A8E" w:rsidRPr="00895AD4">
        <w:rPr>
          <w:rFonts w:asciiTheme="minorHAnsi" w:hAnsiTheme="minorHAnsi" w:cstheme="minorHAnsi"/>
          <w:sz w:val="22"/>
          <w:szCs w:val="22"/>
        </w:rPr>
        <w:t xml:space="preserve">per i </w:t>
      </w:r>
      <w:r w:rsidR="00390A8E" w:rsidRPr="000A7DEA">
        <w:rPr>
          <w:rFonts w:asciiTheme="minorHAnsi" w:hAnsiTheme="minorHAnsi" w:cstheme="minorHAnsi"/>
          <w:b/>
          <w:sz w:val="22"/>
          <w:szCs w:val="22"/>
        </w:rPr>
        <w:t>tagli di carne suina</w:t>
      </w:r>
      <w:r w:rsidR="00390A8E">
        <w:rPr>
          <w:rFonts w:asciiTheme="minorHAnsi" w:hAnsiTheme="minorHAnsi" w:cstheme="minorHAnsi"/>
          <w:sz w:val="22"/>
          <w:szCs w:val="22"/>
        </w:rPr>
        <w:t xml:space="preserve"> (-5,1% rispetto a M</w:t>
      </w:r>
      <w:r w:rsidR="00390A8E" w:rsidRPr="00895AD4">
        <w:rPr>
          <w:rFonts w:asciiTheme="minorHAnsi" w:hAnsiTheme="minorHAnsi" w:cstheme="minorHAnsi"/>
          <w:sz w:val="22"/>
          <w:szCs w:val="22"/>
        </w:rPr>
        <w:t>arzo</w:t>
      </w:r>
      <w:proofErr w:type="gramStart"/>
      <w:r w:rsidR="00390A8E" w:rsidRPr="00895AD4">
        <w:rPr>
          <w:rFonts w:asciiTheme="minorHAnsi" w:hAnsiTheme="minorHAnsi" w:cstheme="minorHAnsi"/>
          <w:sz w:val="22"/>
          <w:szCs w:val="22"/>
        </w:rPr>
        <w:t>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a causa della diminuzione della domanda rispetto a Marzo. </w:t>
      </w:r>
      <w:r w:rsidR="00390A8E">
        <w:rPr>
          <w:rFonts w:asciiTheme="minorHAnsi" w:hAnsiTheme="minorHAnsi" w:cstheme="minorHAnsi"/>
          <w:sz w:val="22"/>
          <w:szCs w:val="22"/>
        </w:rPr>
        <w:t xml:space="preserve">La chiusura del canale Horeca (ristoranti, pasticcerie, etc.) ha provocato flessioni per </w:t>
      </w:r>
      <w:r w:rsidR="007A5A85">
        <w:rPr>
          <w:rFonts w:asciiTheme="minorHAnsi" w:hAnsiTheme="minorHAnsi" w:cstheme="minorHAnsi"/>
          <w:sz w:val="22"/>
          <w:szCs w:val="22"/>
        </w:rPr>
        <w:t xml:space="preserve">il </w:t>
      </w:r>
      <w:r w:rsidR="00390A8E" w:rsidRPr="007A5A85">
        <w:rPr>
          <w:rFonts w:asciiTheme="minorHAnsi" w:hAnsiTheme="minorHAnsi" w:cstheme="minorHAnsi"/>
          <w:b/>
          <w:bCs/>
          <w:sz w:val="22"/>
          <w:szCs w:val="22"/>
        </w:rPr>
        <w:t>latte</w:t>
      </w:r>
      <w:r w:rsidR="00390A8E">
        <w:rPr>
          <w:rFonts w:asciiTheme="minorHAnsi" w:hAnsiTheme="minorHAnsi" w:cstheme="minorHAnsi"/>
          <w:sz w:val="22"/>
          <w:szCs w:val="22"/>
        </w:rPr>
        <w:t xml:space="preserve"> spot (-8,1%) e per il</w:t>
      </w:r>
      <w:r w:rsidR="00390A8E" w:rsidRPr="00895AD4">
        <w:rPr>
          <w:rFonts w:asciiTheme="minorHAnsi" w:hAnsiTheme="minorHAnsi" w:cstheme="minorHAnsi"/>
          <w:sz w:val="22"/>
          <w:szCs w:val="22"/>
        </w:rPr>
        <w:t xml:space="preserve"> </w:t>
      </w:r>
      <w:r w:rsidR="00390A8E" w:rsidRPr="00AE614F">
        <w:rPr>
          <w:rFonts w:asciiTheme="minorHAnsi" w:hAnsiTheme="minorHAnsi" w:cstheme="minorHAnsi"/>
          <w:b/>
          <w:sz w:val="22"/>
          <w:szCs w:val="22"/>
        </w:rPr>
        <w:t>burro</w:t>
      </w:r>
      <w:r w:rsidR="00390A8E">
        <w:rPr>
          <w:rFonts w:asciiTheme="minorHAnsi" w:hAnsiTheme="minorHAnsi" w:cstheme="minorHAnsi"/>
          <w:sz w:val="22"/>
          <w:szCs w:val="22"/>
        </w:rPr>
        <w:t xml:space="preserve"> (</w:t>
      </w:r>
      <w:r w:rsidR="00390A8E" w:rsidRPr="00895AD4">
        <w:rPr>
          <w:rFonts w:asciiTheme="minorHAnsi" w:hAnsiTheme="minorHAnsi" w:cstheme="minorHAnsi"/>
          <w:sz w:val="22"/>
          <w:szCs w:val="22"/>
        </w:rPr>
        <w:t>quasi il 20% rispetto al mese precedente</w:t>
      </w:r>
      <w:r w:rsidR="00390A8E">
        <w:rPr>
          <w:rFonts w:asciiTheme="minorHAnsi" w:hAnsiTheme="minorHAnsi" w:cstheme="minorHAnsi"/>
          <w:sz w:val="22"/>
          <w:szCs w:val="22"/>
        </w:rPr>
        <w:t>)</w:t>
      </w:r>
      <w:r w:rsidR="007A5A85">
        <w:rPr>
          <w:rFonts w:asciiTheme="minorHAnsi" w:hAnsiTheme="minorHAnsi" w:cstheme="minorHAnsi"/>
          <w:sz w:val="22"/>
          <w:szCs w:val="22"/>
        </w:rPr>
        <w:t xml:space="preserve">. </w:t>
      </w:r>
      <w:r w:rsidR="007A5A85" w:rsidRPr="00895AD4">
        <w:rPr>
          <w:rFonts w:asciiTheme="minorHAnsi" w:hAnsiTheme="minorHAnsi" w:cstheme="minorHAnsi"/>
          <w:sz w:val="22"/>
          <w:szCs w:val="22"/>
        </w:rPr>
        <w:t xml:space="preserve">Rispetto allo scorso anno i listini italiani </w:t>
      </w:r>
      <w:r w:rsidR="007A5A85">
        <w:rPr>
          <w:rFonts w:asciiTheme="minorHAnsi" w:hAnsiTheme="minorHAnsi" w:cstheme="minorHAnsi"/>
          <w:sz w:val="22"/>
          <w:szCs w:val="22"/>
        </w:rPr>
        <w:t>del burro hanno perso</w:t>
      </w:r>
      <w:r w:rsidR="007A5A85" w:rsidRPr="00895AD4">
        <w:rPr>
          <w:rFonts w:asciiTheme="minorHAnsi" w:hAnsiTheme="minorHAnsi" w:cstheme="minorHAnsi"/>
          <w:sz w:val="22"/>
          <w:szCs w:val="22"/>
        </w:rPr>
        <w:t xml:space="preserve"> quasi il 40%.</w:t>
      </w:r>
    </w:p>
    <w:p w14:paraId="72D5DAFB" w14:textId="77777777" w:rsidR="00167B1C" w:rsidRPr="00AE614F" w:rsidRDefault="00E579FE" w:rsidP="00572851">
      <w:pPr>
        <w:spacing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Settimo</w:t>
      </w:r>
      <w:r w:rsidR="000A7DEA" w:rsidRPr="00895A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ribasso consecutivo</w:t>
      </w:r>
      <w:r w:rsidR="000A7DEA" w:rsidRPr="00895AD4">
        <w:rPr>
          <w:rFonts w:asciiTheme="minorHAnsi" w:hAnsiTheme="minorHAnsi" w:cstheme="minorHAnsi"/>
          <w:sz w:val="22"/>
          <w:szCs w:val="22"/>
        </w:rPr>
        <w:t xml:space="preserve"> per i prezzi all’ingrosso dei </w:t>
      </w:r>
      <w:r w:rsidR="000A7DEA" w:rsidRPr="00AE614F">
        <w:rPr>
          <w:rFonts w:asciiTheme="minorHAnsi" w:hAnsiTheme="minorHAnsi" w:cstheme="minorHAnsi"/>
          <w:b/>
          <w:sz w:val="22"/>
          <w:szCs w:val="22"/>
        </w:rPr>
        <w:t>formaggi a lunga stagionatura</w:t>
      </w:r>
      <w:r w:rsidR="000A7DEA" w:rsidRPr="00895AD4">
        <w:rPr>
          <w:rFonts w:asciiTheme="minorHAnsi" w:hAnsiTheme="minorHAnsi" w:cstheme="minorHAnsi"/>
          <w:sz w:val="22"/>
          <w:szCs w:val="22"/>
        </w:rPr>
        <w:t xml:space="preserve"> (-2%), </w:t>
      </w:r>
      <w:r w:rsidR="00E76281">
        <w:rPr>
          <w:rFonts w:asciiTheme="minorHAnsi" w:hAnsiTheme="minorHAnsi" w:cstheme="minorHAnsi"/>
          <w:sz w:val="22"/>
          <w:szCs w:val="22"/>
        </w:rPr>
        <w:t>per</w:t>
      </w:r>
      <w:r w:rsidR="000A7DEA" w:rsidRPr="00895AD4">
        <w:rPr>
          <w:rFonts w:asciiTheme="minorHAnsi" w:hAnsiTheme="minorHAnsi" w:cstheme="minorHAnsi"/>
          <w:sz w:val="22"/>
          <w:szCs w:val="22"/>
        </w:rPr>
        <w:t xml:space="preserve"> un calo</w:t>
      </w:r>
      <w:r>
        <w:rPr>
          <w:rFonts w:asciiTheme="minorHAnsi" w:hAnsiTheme="minorHAnsi" w:cstheme="minorHAnsi"/>
          <w:sz w:val="22"/>
          <w:szCs w:val="22"/>
        </w:rPr>
        <w:t xml:space="preserve"> complessivo</w:t>
      </w:r>
      <w:r w:rsidR="000A7DEA" w:rsidRPr="00895AD4">
        <w:rPr>
          <w:rFonts w:asciiTheme="minorHAnsi" w:hAnsiTheme="minorHAnsi" w:cstheme="minorHAnsi"/>
          <w:sz w:val="22"/>
          <w:szCs w:val="22"/>
        </w:rPr>
        <w:t xml:space="preserve"> di quasi il 20% rispetto allo scorso anno. </w:t>
      </w:r>
      <w:proofErr w:type="gramStart"/>
      <w:r w:rsidR="00167B1C" w:rsidRPr="00895AD4">
        <w:rPr>
          <w:rFonts w:asciiTheme="minorHAnsi" w:hAnsiTheme="minorHAnsi" w:cstheme="minorHAnsi"/>
          <w:sz w:val="22"/>
          <w:szCs w:val="22"/>
        </w:rPr>
        <w:t xml:space="preserve">Scambi limitati </w:t>
      </w:r>
      <w:r w:rsidR="00895AD4" w:rsidRPr="00895AD4">
        <w:rPr>
          <w:rFonts w:asciiTheme="minorHAnsi" w:hAnsiTheme="minorHAnsi" w:cstheme="minorHAnsi"/>
          <w:sz w:val="22"/>
          <w:szCs w:val="22"/>
        </w:rPr>
        <w:t>e prezzi</w:t>
      </w:r>
      <w:r w:rsidR="00AE614F">
        <w:rPr>
          <w:rFonts w:asciiTheme="minorHAnsi" w:hAnsiTheme="minorHAnsi" w:cstheme="minorHAnsi"/>
          <w:sz w:val="22"/>
          <w:szCs w:val="22"/>
        </w:rPr>
        <w:t xml:space="preserve"> invariati rispetto a M</w:t>
      </w:r>
      <w:r w:rsidR="00895AD4" w:rsidRPr="00895AD4">
        <w:rPr>
          <w:rFonts w:asciiTheme="minorHAnsi" w:hAnsiTheme="minorHAnsi" w:cstheme="minorHAnsi"/>
          <w:sz w:val="22"/>
          <w:szCs w:val="22"/>
        </w:rPr>
        <w:t>arzo per l’</w:t>
      </w:r>
      <w:r w:rsidR="00167B1C" w:rsidRPr="00E579FE">
        <w:rPr>
          <w:rFonts w:asciiTheme="minorHAnsi" w:hAnsiTheme="minorHAnsi" w:cstheme="minorHAnsi"/>
          <w:b/>
          <w:sz w:val="22"/>
          <w:szCs w:val="22"/>
        </w:rPr>
        <w:t>olio di oliva</w:t>
      </w:r>
      <w:proofErr w:type="gramEnd"/>
      <w:r w:rsidR="00895AD4" w:rsidRPr="00895AD4">
        <w:rPr>
          <w:rFonts w:asciiTheme="minorHAnsi" w:hAnsiTheme="minorHAnsi" w:cstheme="minorHAnsi"/>
          <w:sz w:val="22"/>
          <w:szCs w:val="22"/>
        </w:rPr>
        <w:t xml:space="preserve">. </w:t>
      </w:r>
      <w:r w:rsidR="00167B1C" w:rsidRPr="00895AD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Tra gli sfarinati di frumento, invece, è rallentata la crescita dei prezzi all’ingrosso della </w:t>
      </w:r>
      <w:r w:rsidR="00167B1C" w:rsidRPr="00FD4597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farina</w:t>
      </w:r>
      <w:r w:rsidR="00167B1C" w:rsidRPr="00895AD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passati dal +6,9% di </w:t>
      </w:r>
      <w:r w:rsidR="00AE614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M</w:t>
      </w:r>
      <w:r w:rsidR="00167B1C" w:rsidRPr="00895AD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arzo al +2,3% di </w:t>
      </w:r>
      <w:r w:rsidR="00AE614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A</w:t>
      </w:r>
      <w:r w:rsidR="00167B1C" w:rsidRPr="00895AD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prile.</w:t>
      </w:r>
    </w:p>
    <w:p w14:paraId="113EC101" w14:textId="77777777" w:rsidR="00A50602" w:rsidRDefault="00A50602" w:rsidP="00A5060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F7EF38B" w14:textId="77777777" w:rsidR="00FD4597" w:rsidRDefault="00FD4597" w:rsidP="00A5060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451ED78" w14:textId="77777777" w:rsidR="00FD4597" w:rsidRDefault="00FD4597" w:rsidP="00A5060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60FE37E" w14:textId="77777777" w:rsidR="00ED6E9D" w:rsidRDefault="00ED6E9D" w:rsidP="00A5060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A973CE0" w14:textId="77777777" w:rsidR="00AE614F" w:rsidRDefault="00AE614F" w:rsidP="00434150">
      <w:pPr>
        <w:spacing w:before="120" w:line="276" w:lineRule="auto"/>
        <w:rPr>
          <w:rFonts w:asciiTheme="minorHAnsi" w:hAnsiTheme="minorHAnsi" w:cs="Arial"/>
          <w:b/>
          <w:bCs/>
          <w:iCs/>
          <w:sz w:val="20"/>
        </w:rPr>
      </w:pPr>
    </w:p>
    <w:p w14:paraId="470750FD" w14:textId="77777777" w:rsidR="007A5A85" w:rsidRDefault="007A5A85" w:rsidP="00434150">
      <w:pPr>
        <w:spacing w:before="120" w:line="276" w:lineRule="auto"/>
        <w:rPr>
          <w:rFonts w:asciiTheme="minorHAnsi" w:hAnsiTheme="minorHAnsi" w:cs="Arial"/>
          <w:b/>
          <w:bCs/>
          <w:iCs/>
          <w:sz w:val="20"/>
        </w:rPr>
      </w:pPr>
    </w:p>
    <w:p w14:paraId="7EBADE29" w14:textId="77777777" w:rsidR="007A5A85" w:rsidRDefault="007A5A85" w:rsidP="00434150">
      <w:pPr>
        <w:spacing w:before="120" w:line="276" w:lineRule="auto"/>
        <w:rPr>
          <w:rFonts w:asciiTheme="minorHAnsi" w:hAnsiTheme="minorHAnsi" w:cs="Arial"/>
          <w:b/>
          <w:bCs/>
          <w:iCs/>
          <w:sz w:val="20"/>
        </w:rPr>
      </w:pPr>
    </w:p>
    <w:p w14:paraId="61E9CC72" w14:textId="77777777" w:rsidR="007A5A85" w:rsidRDefault="007A5A85" w:rsidP="00434150">
      <w:pPr>
        <w:spacing w:before="120" w:line="276" w:lineRule="auto"/>
        <w:rPr>
          <w:rFonts w:asciiTheme="minorHAnsi" w:hAnsiTheme="minorHAnsi" w:cs="Arial"/>
          <w:b/>
          <w:bCs/>
          <w:iCs/>
          <w:sz w:val="20"/>
        </w:rPr>
      </w:pPr>
    </w:p>
    <w:p w14:paraId="61550D80" w14:textId="77777777" w:rsidR="00434150" w:rsidRPr="001B204C" w:rsidRDefault="00434150" w:rsidP="00434150">
      <w:pPr>
        <w:spacing w:before="120" w:line="276" w:lineRule="auto"/>
        <w:rPr>
          <w:rFonts w:asciiTheme="minorHAnsi" w:hAnsiTheme="minorHAnsi" w:cs="Arial"/>
          <w:b/>
          <w:bCs/>
          <w:iCs/>
          <w:sz w:val="20"/>
        </w:rPr>
      </w:pPr>
      <w:r w:rsidRPr="001B204C">
        <w:rPr>
          <w:rFonts w:asciiTheme="minorHAnsi" w:hAnsiTheme="minorHAnsi" w:cs="Arial"/>
          <w:b/>
          <w:bCs/>
          <w:iCs/>
          <w:sz w:val="20"/>
        </w:rPr>
        <w:lastRenderedPageBreak/>
        <w:t>Tabella 1: Indice dei prezzi ufficiali all’ingrosso di Riso e Cereali, Carni, Latte, formaggi e uova, Oli e grassi</w:t>
      </w:r>
    </w:p>
    <w:p w14:paraId="16F3CA68" w14:textId="77777777" w:rsidR="00434150" w:rsidRPr="00821C8A" w:rsidRDefault="00383EC1" w:rsidP="00434150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D66B83">
        <w:rPr>
          <w:noProof/>
        </w:rPr>
        <w:drawing>
          <wp:inline distT="0" distB="0" distL="0" distR="0" wp14:anchorId="1AA91379" wp14:editId="635CB696">
            <wp:extent cx="5400000" cy="407941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7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150">
        <w:rPr>
          <w:rFonts w:asciiTheme="minorHAnsi" w:hAnsiTheme="minorHAnsi" w:cs="Arial"/>
          <w:i/>
          <w:sz w:val="20"/>
        </w:rPr>
        <w:br w:type="textWrapping" w:clear="all"/>
      </w:r>
      <w:r w:rsidR="00434150" w:rsidRPr="00821C8A">
        <w:rPr>
          <w:rFonts w:asciiTheme="minorHAnsi" w:hAnsiTheme="minorHAnsi" w:cstheme="minorHAnsi"/>
          <w:i/>
          <w:sz w:val="18"/>
          <w:szCs w:val="18"/>
        </w:rPr>
        <w:t>Fonte: elaborazione Unioncamere-BMTI su dati Camere di Commercio, Borse Merci e Commissioni Uniche Nazionali</w:t>
      </w:r>
    </w:p>
    <w:p w14:paraId="21A8C8A2" w14:textId="77777777" w:rsidR="00434150" w:rsidRPr="00821C8A" w:rsidRDefault="00434150" w:rsidP="00434150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821C8A">
        <w:rPr>
          <w:rFonts w:asciiTheme="minorHAnsi" w:hAnsiTheme="minorHAnsi" w:cstheme="minorHAnsi"/>
          <w:i/>
          <w:sz w:val="18"/>
          <w:szCs w:val="18"/>
        </w:rPr>
        <w:t xml:space="preserve">Nota metodologica su </w:t>
      </w:r>
      <w:r w:rsidRPr="00821C8A">
        <w:rPr>
          <w:rStyle w:val="Collegamentoipertestuale"/>
          <w:rFonts w:asciiTheme="minorHAnsi" w:hAnsiTheme="minorHAnsi" w:cstheme="minorHAnsi"/>
          <w:i/>
          <w:sz w:val="18"/>
          <w:szCs w:val="18"/>
        </w:rPr>
        <w:t>https://www.bmti.it/archivio-indice-prezzi-ingrosso</w:t>
      </w:r>
    </w:p>
    <w:p w14:paraId="6325A1F3" w14:textId="77777777" w:rsidR="00434150" w:rsidRDefault="00434150" w:rsidP="00434150">
      <w:pPr>
        <w:spacing w:after="160" w:line="259" w:lineRule="auto"/>
        <w:jc w:val="left"/>
        <w:rPr>
          <w:noProof/>
        </w:rPr>
      </w:pPr>
      <w:r>
        <w:rPr>
          <w:noProof/>
        </w:rPr>
        <w:br w:type="page"/>
      </w:r>
    </w:p>
    <w:p w14:paraId="35C2E2D6" w14:textId="77777777" w:rsidR="00434150" w:rsidRPr="001B204C" w:rsidRDefault="00434150" w:rsidP="00434150">
      <w:pPr>
        <w:spacing w:before="120" w:line="276" w:lineRule="auto"/>
        <w:rPr>
          <w:rFonts w:asciiTheme="minorHAnsi" w:hAnsiTheme="minorHAnsi" w:cs="Arial"/>
          <w:b/>
          <w:bCs/>
          <w:iCs/>
          <w:sz w:val="20"/>
        </w:rPr>
      </w:pPr>
      <w:r w:rsidRPr="001B204C">
        <w:rPr>
          <w:rFonts w:asciiTheme="minorHAnsi" w:hAnsiTheme="minorHAnsi" w:cs="Arial"/>
          <w:b/>
          <w:bCs/>
          <w:iCs/>
          <w:sz w:val="20"/>
        </w:rPr>
        <w:lastRenderedPageBreak/>
        <w:t xml:space="preserve">Tabella </w:t>
      </w:r>
      <w:r>
        <w:rPr>
          <w:rFonts w:asciiTheme="minorHAnsi" w:hAnsiTheme="minorHAnsi" w:cs="Arial"/>
          <w:b/>
          <w:bCs/>
          <w:iCs/>
          <w:sz w:val="20"/>
        </w:rPr>
        <w:t>2</w:t>
      </w:r>
      <w:r w:rsidRPr="001B204C">
        <w:rPr>
          <w:rFonts w:asciiTheme="minorHAnsi" w:hAnsiTheme="minorHAnsi" w:cs="Arial"/>
          <w:b/>
          <w:bCs/>
          <w:iCs/>
          <w:sz w:val="20"/>
        </w:rPr>
        <w:t xml:space="preserve">: Indice dei prezzi ufficiali all’ingrosso </w:t>
      </w:r>
      <w:r>
        <w:rPr>
          <w:rFonts w:asciiTheme="minorHAnsi" w:hAnsiTheme="minorHAnsi" w:cs="Arial"/>
          <w:b/>
          <w:bCs/>
          <w:iCs/>
          <w:sz w:val="20"/>
        </w:rPr>
        <w:t>dei Vini</w:t>
      </w:r>
    </w:p>
    <w:p w14:paraId="1084F360" w14:textId="77777777" w:rsidR="00434150" w:rsidRDefault="00383EC1" w:rsidP="00434150">
      <w:pPr>
        <w:spacing w:line="276" w:lineRule="auto"/>
        <w:rPr>
          <w:rFonts w:asciiTheme="minorHAnsi" w:hAnsiTheme="minorHAnsi" w:cstheme="minorHAnsi"/>
          <w:i/>
          <w:sz w:val="20"/>
        </w:rPr>
      </w:pPr>
      <w:r w:rsidRPr="008D1E6D">
        <w:rPr>
          <w:noProof/>
        </w:rPr>
        <w:drawing>
          <wp:inline distT="0" distB="0" distL="0" distR="0" wp14:anchorId="76D58A15" wp14:editId="791F2F8D">
            <wp:extent cx="5400000" cy="3182958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18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9763A" w14:textId="77777777" w:rsidR="00434150" w:rsidRPr="00821C8A" w:rsidRDefault="00434150" w:rsidP="00434150">
      <w:pPr>
        <w:spacing w:before="120"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821C8A">
        <w:rPr>
          <w:rFonts w:asciiTheme="minorHAnsi" w:hAnsiTheme="minorHAnsi" w:cstheme="minorHAnsi"/>
          <w:i/>
          <w:sz w:val="18"/>
          <w:szCs w:val="18"/>
        </w:rPr>
        <w:t>Fonte: elaborazione Unioncamere-BMTI e REF Ricerche su dati Camere di Commercio e Borse Merci</w:t>
      </w:r>
    </w:p>
    <w:p w14:paraId="69B96C6E" w14:textId="77777777" w:rsidR="00434150" w:rsidRPr="00821C8A" w:rsidRDefault="00434150" w:rsidP="00434150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821C8A">
        <w:rPr>
          <w:rFonts w:asciiTheme="minorHAnsi" w:hAnsiTheme="minorHAnsi" w:cstheme="minorHAnsi"/>
          <w:i/>
          <w:sz w:val="18"/>
          <w:szCs w:val="18"/>
        </w:rPr>
        <w:t xml:space="preserve">Nota metodologica su </w:t>
      </w:r>
      <w:r w:rsidRPr="00821C8A">
        <w:rPr>
          <w:rStyle w:val="Collegamentoipertestuale"/>
          <w:rFonts w:asciiTheme="minorHAnsi" w:hAnsiTheme="minorHAnsi" w:cstheme="minorHAnsi"/>
          <w:i/>
          <w:sz w:val="18"/>
          <w:szCs w:val="18"/>
        </w:rPr>
        <w:t>https://www.bmti.it/archivio-indice-prezzi-ingrosso</w:t>
      </w:r>
    </w:p>
    <w:p w14:paraId="09819E3E" w14:textId="77777777" w:rsidR="00434150" w:rsidRDefault="00434150" w:rsidP="00434150">
      <w:pPr>
        <w:spacing w:before="120" w:line="276" w:lineRule="auto"/>
        <w:rPr>
          <w:rFonts w:asciiTheme="minorHAnsi" w:hAnsiTheme="minorHAnsi" w:cstheme="minorHAnsi"/>
          <w:i/>
          <w:sz w:val="20"/>
        </w:rPr>
      </w:pPr>
    </w:p>
    <w:p w14:paraId="4CA061AD" w14:textId="77777777" w:rsidR="00434150" w:rsidRDefault="00434150" w:rsidP="00434150">
      <w:pPr>
        <w:spacing w:after="160" w:line="259" w:lineRule="auto"/>
        <w:jc w:val="lef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br w:type="page"/>
      </w:r>
    </w:p>
    <w:p w14:paraId="3FD009AE" w14:textId="77777777" w:rsidR="00383EC1" w:rsidRPr="00821C8A" w:rsidRDefault="00383EC1" w:rsidP="00383EC1">
      <w:pPr>
        <w:spacing w:line="276" w:lineRule="auto"/>
        <w:rPr>
          <w:rFonts w:asciiTheme="minorHAnsi" w:hAnsiTheme="minorHAnsi" w:cs="Arial"/>
          <w:b/>
          <w:bCs/>
          <w:iCs/>
          <w:sz w:val="20"/>
        </w:rPr>
      </w:pPr>
      <w:r w:rsidRPr="001B204C">
        <w:rPr>
          <w:rFonts w:asciiTheme="minorHAnsi" w:hAnsiTheme="minorHAnsi" w:cs="Arial"/>
          <w:b/>
          <w:bCs/>
          <w:iCs/>
          <w:sz w:val="20"/>
        </w:rPr>
        <w:lastRenderedPageBreak/>
        <w:t xml:space="preserve">Tabella </w:t>
      </w:r>
      <w:r>
        <w:rPr>
          <w:rFonts w:asciiTheme="minorHAnsi" w:hAnsiTheme="minorHAnsi" w:cs="Arial"/>
          <w:b/>
          <w:bCs/>
          <w:iCs/>
          <w:sz w:val="20"/>
        </w:rPr>
        <w:t>3</w:t>
      </w:r>
      <w:r w:rsidRPr="001B204C">
        <w:rPr>
          <w:rFonts w:asciiTheme="minorHAnsi" w:hAnsiTheme="minorHAnsi" w:cs="Arial"/>
          <w:b/>
          <w:bCs/>
          <w:iCs/>
          <w:sz w:val="20"/>
        </w:rPr>
        <w:t xml:space="preserve">: Indice dei prezzi ufficiali all’ingrosso </w:t>
      </w:r>
      <w:r>
        <w:rPr>
          <w:rFonts w:asciiTheme="minorHAnsi" w:hAnsiTheme="minorHAnsi" w:cs="Arial"/>
          <w:b/>
          <w:bCs/>
          <w:iCs/>
          <w:sz w:val="20"/>
        </w:rPr>
        <w:t>di Frutta e Ortaggi*</w:t>
      </w:r>
    </w:p>
    <w:p w14:paraId="2B103E44" w14:textId="77777777" w:rsidR="00383EC1" w:rsidRDefault="00383EC1" w:rsidP="00383EC1">
      <w:pPr>
        <w:spacing w:line="276" w:lineRule="auto"/>
        <w:rPr>
          <w:rFonts w:asciiTheme="minorHAnsi" w:hAnsiTheme="minorHAnsi" w:cstheme="minorHAnsi"/>
          <w:i/>
          <w:sz w:val="20"/>
        </w:rPr>
      </w:pPr>
      <w:r w:rsidRPr="008127D8">
        <w:rPr>
          <w:noProof/>
        </w:rPr>
        <w:drawing>
          <wp:inline distT="0" distB="0" distL="0" distR="0" wp14:anchorId="3C703207" wp14:editId="373C0F7C">
            <wp:extent cx="5004000" cy="6478446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0" cy="647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17951" w14:textId="77777777" w:rsidR="00434150" w:rsidRPr="00383EC1" w:rsidRDefault="00383EC1" w:rsidP="00383EC1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0D0BB7">
        <w:rPr>
          <w:rFonts w:asciiTheme="minorHAnsi" w:hAnsiTheme="minorHAnsi" w:cstheme="minorHAnsi"/>
          <w:i/>
          <w:sz w:val="18"/>
          <w:szCs w:val="18"/>
        </w:rPr>
        <w:t xml:space="preserve">*Il valore delle variazioni congiunturali e tendenziali a livello dei singoli gruppi sono calcolate con solo riferimento ai prodotti presenti nella tabella ed escludendo i prodotti non in stagione. </w:t>
      </w:r>
    </w:p>
    <w:p w14:paraId="6A07DE42" w14:textId="77777777" w:rsidR="00434150" w:rsidRPr="00821C8A" w:rsidRDefault="00434150" w:rsidP="00434150">
      <w:pPr>
        <w:spacing w:line="276" w:lineRule="auto"/>
        <w:rPr>
          <w:rFonts w:asciiTheme="minorHAnsi" w:hAnsiTheme="minorHAnsi" w:cs="Arial"/>
          <w:i/>
          <w:color w:val="2E74B5" w:themeColor="accent1" w:themeShade="BF"/>
          <w:sz w:val="18"/>
          <w:szCs w:val="18"/>
        </w:rPr>
      </w:pPr>
      <w:r w:rsidRPr="00821C8A">
        <w:rPr>
          <w:rFonts w:asciiTheme="minorHAnsi" w:hAnsiTheme="minorHAnsi" w:cstheme="minorHAnsi"/>
          <w:i/>
          <w:sz w:val="18"/>
          <w:szCs w:val="18"/>
        </w:rPr>
        <w:t xml:space="preserve">Fonte: elaborazione </w:t>
      </w:r>
      <w:proofErr w:type="spellStart"/>
      <w:r w:rsidRPr="00821C8A">
        <w:rPr>
          <w:rFonts w:asciiTheme="minorHAnsi" w:hAnsiTheme="minorHAnsi" w:cstheme="minorHAnsi"/>
          <w:i/>
          <w:sz w:val="18"/>
          <w:szCs w:val="18"/>
        </w:rPr>
        <w:t>Italmercati</w:t>
      </w:r>
      <w:proofErr w:type="spellEnd"/>
      <w:r w:rsidRPr="00821C8A">
        <w:rPr>
          <w:rFonts w:asciiTheme="minorHAnsi" w:hAnsiTheme="minorHAnsi" w:cstheme="minorHAnsi"/>
          <w:i/>
          <w:sz w:val="18"/>
          <w:szCs w:val="18"/>
        </w:rPr>
        <w:t>, BMTI e REF Ricerche su dati MISE-Unioncamere</w:t>
      </w:r>
    </w:p>
    <w:p w14:paraId="4AE66EE8" w14:textId="77777777" w:rsidR="00434150" w:rsidRPr="00821C8A" w:rsidRDefault="00434150" w:rsidP="00434150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  <w:r w:rsidRPr="00821C8A">
        <w:rPr>
          <w:rFonts w:asciiTheme="minorHAnsi" w:hAnsiTheme="minorHAnsi" w:cstheme="minorHAnsi"/>
          <w:iCs/>
          <w:sz w:val="18"/>
          <w:szCs w:val="18"/>
        </w:rPr>
        <w:t xml:space="preserve">Nota metodologica su </w:t>
      </w:r>
      <w:r w:rsidRPr="00821C8A">
        <w:rPr>
          <w:rStyle w:val="Collegamentoipertestuale"/>
          <w:rFonts w:asciiTheme="minorHAnsi" w:hAnsiTheme="minorHAnsi" w:cstheme="minorHAnsi"/>
          <w:iCs/>
          <w:sz w:val="18"/>
          <w:szCs w:val="18"/>
        </w:rPr>
        <w:t xml:space="preserve">https://www.bmti.it/archivio-indice-prezzi-ingrosso </w:t>
      </w:r>
      <w:r w:rsidRPr="00821C8A">
        <w:rPr>
          <w:rFonts w:asciiTheme="minorHAnsi" w:hAnsiTheme="minorHAnsi" w:cstheme="minorHAnsi"/>
          <w:iCs/>
          <w:sz w:val="18"/>
          <w:szCs w:val="18"/>
        </w:rPr>
        <w:tab/>
      </w:r>
    </w:p>
    <w:p w14:paraId="05398776" w14:textId="77777777" w:rsidR="00434150" w:rsidRPr="00434150" w:rsidRDefault="00434150" w:rsidP="00C97864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B0E70CB" w14:textId="77777777" w:rsidR="003E5F6A" w:rsidRPr="00434150" w:rsidRDefault="003E5F6A" w:rsidP="003E5F6A">
      <w:pPr>
        <w:spacing w:line="276" w:lineRule="auto"/>
        <w:rPr>
          <w:rFonts w:asciiTheme="minorHAnsi" w:hAnsiTheme="minorHAnsi" w:cstheme="minorHAnsi"/>
          <w:sz w:val="20"/>
        </w:rPr>
      </w:pPr>
    </w:p>
    <w:p w14:paraId="4409D4B1" w14:textId="77777777" w:rsidR="00A6237B" w:rsidRPr="00434150" w:rsidRDefault="00A6237B" w:rsidP="00702E5B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</w:p>
    <w:p w14:paraId="483165F0" w14:textId="77777777" w:rsidR="00A6237B" w:rsidRPr="00434150" w:rsidRDefault="00A6237B" w:rsidP="00702E5B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</w:p>
    <w:p w14:paraId="2A2087A6" w14:textId="77777777" w:rsidR="008E75C6" w:rsidRPr="00434150" w:rsidRDefault="008E75C6" w:rsidP="00850EF3">
      <w:pPr>
        <w:pStyle w:val="Stile1"/>
        <w:spacing w:after="0"/>
        <w:rPr>
          <w:rFonts w:asciiTheme="minorHAnsi" w:hAnsiTheme="minorHAnsi" w:cstheme="minorHAnsi"/>
        </w:rPr>
      </w:pPr>
    </w:p>
    <w:sectPr w:rsidR="008E75C6" w:rsidRPr="00434150" w:rsidSect="00785C8D">
      <w:footerReference w:type="default" r:id="rId13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FF4DB" w14:textId="77777777" w:rsidR="00B968FB" w:rsidRDefault="00B968FB">
      <w:r>
        <w:separator/>
      </w:r>
    </w:p>
  </w:endnote>
  <w:endnote w:type="continuationSeparator" w:id="0">
    <w:p w14:paraId="492FB3D5" w14:textId="77777777" w:rsidR="00B968FB" w:rsidRDefault="00B9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BC6D1" w14:textId="77777777"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Per ulteriori informazioni:</w:t>
    </w:r>
  </w:p>
  <w:p w14:paraId="31371A84" w14:textId="77777777"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14:paraId="2A010495" w14:textId="77777777" w:rsidR="00785C8D" w:rsidRPr="0033356C" w:rsidRDefault="00E775D9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348.9025607-</w:t>
    </w:r>
    <w:r w:rsidR="00785C8D" w:rsidRPr="0033356C">
      <w:rPr>
        <w:rFonts w:ascii="Cambria" w:hAnsi="Cambria"/>
        <w:color w:val="071D49"/>
        <w:sz w:val="20"/>
        <w:lang w:val="en-US"/>
      </w:rPr>
      <w:t>366.4157335</w:t>
    </w:r>
  </w:p>
  <w:p w14:paraId="04199EAD" w14:textId="77777777" w:rsidR="00785C8D" w:rsidRPr="0033356C" w:rsidRDefault="00785C8D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 xml:space="preserve">ufficio.stampa@unioncamere.it - </w:t>
    </w:r>
    <w:hyperlink r:id="rId1" w:history="1">
      <w:r w:rsidRPr="0033356C">
        <w:rPr>
          <w:rStyle w:val="Collegamentoipertestuale"/>
          <w:rFonts w:ascii="Cambria" w:hAnsi="Cambria"/>
          <w:color w:val="071D49"/>
          <w:sz w:val="20"/>
          <w:lang w:val="en-US"/>
        </w:rPr>
        <w:t>www.unioncamere.gov.it</w:t>
      </w:r>
    </w:hyperlink>
    <w:r w:rsidRPr="0033356C">
      <w:rPr>
        <w:rFonts w:ascii="Cambria" w:hAnsi="Cambria"/>
        <w:color w:val="071D49"/>
        <w:sz w:val="20"/>
        <w:lang w:val="en-US"/>
      </w:rPr>
      <w:t xml:space="preserve"> - twitter.com/</w:t>
    </w:r>
    <w:proofErr w:type="spellStart"/>
    <w:r w:rsidRPr="0033356C">
      <w:rPr>
        <w:rFonts w:ascii="Cambria" w:hAnsi="Cambria"/>
        <w:color w:val="071D49"/>
        <w:sz w:val="20"/>
        <w:lang w:val="en-US"/>
      </w:rPr>
      <w:t>unioncamere</w:t>
    </w:r>
    <w:proofErr w:type="spellEnd"/>
  </w:p>
  <w:p w14:paraId="65E8FE74" w14:textId="77777777" w:rsidR="00F7784A" w:rsidRPr="0033356C" w:rsidRDefault="00F7784A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AD2D4" w14:textId="77777777" w:rsidR="00B968FB" w:rsidRDefault="00B968FB">
      <w:r>
        <w:separator/>
      </w:r>
    </w:p>
  </w:footnote>
  <w:footnote w:type="continuationSeparator" w:id="0">
    <w:p w14:paraId="48585B15" w14:textId="77777777" w:rsidR="00B968FB" w:rsidRDefault="00B9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pt;height:50pt" o:bullet="t">
        <v:imagedata r:id="rId1" o:title="ico_uc_email"/>
      </v:shape>
    </w:pict>
  </w:numPicBullet>
  <w:abstractNum w:abstractNumId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2D"/>
    <w:rsid w:val="0000115F"/>
    <w:rsid w:val="0000117C"/>
    <w:rsid w:val="000072A3"/>
    <w:rsid w:val="0001626C"/>
    <w:rsid w:val="0002247B"/>
    <w:rsid w:val="00025BCB"/>
    <w:rsid w:val="00027F2E"/>
    <w:rsid w:val="000309DB"/>
    <w:rsid w:val="00032186"/>
    <w:rsid w:val="00035E2A"/>
    <w:rsid w:val="0003772E"/>
    <w:rsid w:val="00041FB3"/>
    <w:rsid w:val="00043006"/>
    <w:rsid w:val="00047C18"/>
    <w:rsid w:val="00050877"/>
    <w:rsid w:val="00052BE9"/>
    <w:rsid w:val="000533F9"/>
    <w:rsid w:val="00057783"/>
    <w:rsid w:val="000614B3"/>
    <w:rsid w:val="00065EAB"/>
    <w:rsid w:val="00066E10"/>
    <w:rsid w:val="00067432"/>
    <w:rsid w:val="0007352A"/>
    <w:rsid w:val="000742A4"/>
    <w:rsid w:val="00093073"/>
    <w:rsid w:val="000937E0"/>
    <w:rsid w:val="000A0D17"/>
    <w:rsid w:val="000A126F"/>
    <w:rsid w:val="000A5C7E"/>
    <w:rsid w:val="000A7DEA"/>
    <w:rsid w:val="000B1675"/>
    <w:rsid w:val="000B2D19"/>
    <w:rsid w:val="000B51CF"/>
    <w:rsid w:val="000B6C06"/>
    <w:rsid w:val="000C0D10"/>
    <w:rsid w:val="000C18FE"/>
    <w:rsid w:val="000C48B9"/>
    <w:rsid w:val="000C5E21"/>
    <w:rsid w:val="000C5E76"/>
    <w:rsid w:val="000C69FE"/>
    <w:rsid w:val="000D0FA1"/>
    <w:rsid w:val="000D1FBA"/>
    <w:rsid w:val="000D37E5"/>
    <w:rsid w:val="000D4272"/>
    <w:rsid w:val="000D70D1"/>
    <w:rsid w:val="000D755A"/>
    <w:rsid w:val="000D7AF4"/>
    <w:rsid w:val="000E2080"/>
    <w:rsid w:val="000E3CF5"/>
    <w:rsid w:val="000E669F"/>
    <w:rsid w:val="000E6FE3"/>
    <w:rsid w:val="000F1AC0"/>
    <w:rsid w:val="000F36D6"/>
    <w:rsid w:val="00100C3C"/>
    <w:rsid w:val="0010432B"/>
    <w:rsid w:val="00105851"/>
    <w:rsid w:val="0010753D"/>
    <w:rsid w:val="00107581"/>
    <w:rsid w:val="001128D5"/>
    <w:rsid w:val="00113298"/>
    <w:rsid w:val="00113A18"/>
    <w:rsid w:val="00120DC6"/>
    <w:rsid w:val="00123F37"/>
    <w:rsid w:val="00126A19"/>
    <w:rsid w:val="00131021"/>
    <w:rsid w:val="0013186C"/>
    <w:rsid w:val="001372AC"/>
    <w:rsid w:val="00140083"/>
    <w:rsid w:val="001423FF"/>
    <w:rsid w:val="00143A49"/>
    <w:rsid w:val="00145DA9"/>
    <w:rsid w:val="00146FA5"/>
    <w:rsid w:val="0015628E"/>
    <w:rsid w:val="00161FA2"/>
    <w:rsid w:val="00163327"/>
    <w:rsid w:val="0016716A"/>
    <w:rsid w:val="00167B1C"/>
    <w:rsid w:val="001718AA"/>
    <w:rsid w:val="00171E7C"/>
    <w:rsid w:val="00172A83"/>
    <w:rsid w:val="00181256"/>
    <w:rsid w:val="00182A40"/>
    <w:rsid w:val="00186197"/>
    <w:rsid w:val="00192E26"/>
    <w:rsid w:val="001956FC"/>
    <w:rsid w:val="00197619"/>
    <w:rsid w:val="00197937"/>
    <w:rsid w:val="001A293B"/>
    <w:rsid w:val="001A48C3"/>
    <w:rsid w:val="001B6D77"/>
    <w:rsid w:val="001B7EA3"/>
    <w:rsid w:val="001C16A7"/>
    <w:rsid w:val="001C1EF3"/>
    <w:rsid w:val="001C6F4C"/>
    <w:rsid w:val="001D119E"/>
    <w:rsid w:val="001E1AC8"/>
    <w:rsid w:val="001E722A"/>
    <w:rsid w:val="001F06C2"/>
    <w:rsid w:val="001F4790"/>
    <w:rsid w:val="001F4B6B"/>
    <w:rsid w:val="001F6734"/>
    <w:rsid w:val="00204651"/>
    <w:rsid w:val="002049DF"/>
    <w:rsid w:val="00210367"/>
    <w:rsid w:val="00211D1B"/>
    <w:rsid w:val="00212CA2"/>
    <w:rsid w:val="00213423"/>
    <w:rsid w:val="002160C9"/>
    <w:rsid w:val="00217BC5"/>
    <w:rsid w:val="00220360"/>
    <w:rsid w:val="002235A3"/>
    <w:rsid w:val="002260C5"/>
    <w:rsid w:val="00227B6D"/>
    <w:rsid w:val="00231C37"/>
    <w:rsid w:val="00237224"/>
    <w:rsid w:val="00237E0A"/>
    <w:rsid w:val="002444B0"/>
    <w:rsid w:val="00245F58"/>
    <w:rsid w:val="002460D3"/>
    <w:rsid w:val="00247664"/>
    <w:rsid w:val="0025309C"/>
    <w:rsid w:val="0025473B"/>
    <w:rsid w:val="00254A4D"/>
    <w:rsid w:val="00254D95"/>
    <w:rsid w:val="002604CB"/>
    <w:rsid w:val="00264439"/>
    <w:rsid w:val="00265E56"/>
    <w:rsid w:val="002664A3"/>
    <w:rsid w:val="00267440"/>
    <w:rsid w:val="00272216"/>
    <w:rsid w:val="00281E9E"/>
    <w:rsid w:val="002826D4"/>
    <w:rsid w:val="00283E30"/>
    <w:rsid w:val="002842EE"/>
    <w:rsid w:val="002911A9"/>
    <w:rsid w:val="00292ED5"/>
    <w:rsid w:val="002A3E6B"/>
    <w:rsid w:val="002A7DE5"/>
    <w:rsid w:val="002A7F4E"/>
    <w:rsid w:val="002B31E0"/>
    <w:rsid w:val="002B506B"/>
    <w:rsid w:val="002B7C00"/>
    <w:rsid w:val="002C17D8"/>
    <w:rsid w:val="002C1E20"/>
    <w:rsid w:val="002C3FF0"/>
    <w:rsid w:val="002D4193"/>
    <w:rsid w:val="002E4F63"/>
    <w:rsid w:val="002E5739"/>
    <w:rsid w:val="00300140"/>
    <w:rsid w:val="0030352A"/>
    <w:rsid w:val="00307330"/>
    <w:rsid w:val="003156F3"/>
    <w:rsid w:val="00316CEA"/>
    <w:rsid w:val="00324DC5"/>
    <w:rsid w:val="0033356C"/>
    <w:rsid w:val="00335E24"/>
    <w:rsid w:val="003403AC"/>
    <w:rsid w:val="00344D91"/>
    <w:rsid w:val="003451D1"/>
    <w:rsid w:val="00353FD8"/>
    <w:rsid w:val="003702FD"/>
    <w:rsid w:val="00373F55"/>
    <w:rsid w:val="00381BA7"/>
    <w:rsid w:val="00383EC1"/>
    <w:rsid w:val="003864F8"/>
    <w:rsid w:val="00386B62"/>
    <w:rsid w:val="003872C5"/>
    <w:rsid w:val="00390A8E"/>
    <w:rsid w:val="00396223"/>
    <w:rsid w:val="003A19B6"/>
    <w:rsid w:val="003A45EF"/>
    <w:rsid w:val="003B00BA"/>
    <w:rsid w:val="003B2618"/>
    <w:rsid w:val="003C0525"/>
    <w:rsid w:val="003C29FF"/>
    <w:rsid w:val="003D0F8B"/>
    <w:rsid w:val="003D6009"/>
    <w:rsid w:val="003E0B48"/>
    <w:rsid w:val="003E1B26"/>
    <w:rsid w:val="003E1C5E"/>
    <w:rsid w:val="003E5F6A"/>
    <w:rsid w:val="003E683C"/>
    <w:rsid w:val="003E7B9B"/>
    <w:rsid w:val="003F3300"/>
    <w:rsid w:val="003F569C"/>
    <w:rsid w:val="004009C1"/>
    <w:rsid w:val="004011C4"/>
    <w:rsid w:val="00401BE2"/>
    <w:rsid w:val="004034D7"/>
    <w:rsid w:val="00412AAC"/>
    <w:rsid w:val="00413C0C"/>
    <w:rsid w:val="00424B88"/>
    <w:rsid w:val="00434150"/>
    <w:rsid w:val="0043471E"/>
    <w:rsid w:val="004369ED"/>
    <w:rsid w:val="00437632"/>
    <w:rsid w:val="004510B3"/>
    <w:rsid w:val="00462B21"/>
    <w:rsid w:val="00467345"/>
    <w:rsid w:val="00471A94"/>
    <w:rsid w:val="004965EF"/>
    <w:rsid w:val="00497008"/>
    <w:rsid w:val="004A4393"/>
    <w:rsid w:val="004A6843"/>
    <w:rsid w:val="004B7238"/>
    <w:rsid w:val="004E4C35"/>
    <w:rsid w:val="004E641D"/>
    <w:rsid w:val="004E6FDA"/>
    <w:rsid w:val="004F19E3"/>
    <w:rsid w:val="004F4200"/>
    <w:rsid w:val="004F7EC9"/>
    <w:rsid w:val="00501F78"/>
    <w:rsid w:val="005063EE"/>
    <w:rsid w:val="005150FF"/>
    <w:rsid w:val="00522A2C"/>
    <w:rsid w:val="00526B59"/>
    <w:rsid w:val="00527CFE"/>
    <w:rsid w:val="005312B1"/>
    <w:rsid w:val="00531577"/>
    <w:rsid w:val="005352B0"/>
    <w:rsid w:val="00536A0E"/>
    <w:rsid w:val="00536CBE"/>
    <w:rsid w:val="00536DA7"/>
    <w:rsid w:val="005406F0"/>
    <w:rsid w:val="00554CFC"/>
    <w:rsid w:val="00555510"/>
    <w:rsid w:val="005572D0"/>
    <w:rsid w:val="00557412"/>
    <w:rsid w:val="00560A21"/>
    <w:rsid w:val="00566EE8"/>
    <w:rsid w:val="00571646"/>
    <w:rsid w:val="00572851"/>
    <w:rsid w:val="005830A3"/>
    <w:rsid w:val="0058333A"/>
    <w:rsid w:val="005A0CC3"/>
    <w:rsid w:val="005A42CE"/>
    <w:rsid w:val="005A4464"/>
    <w:rsid w:val="005A4D1F"/>
    <w:rsid w:val="005B0667"/>
    <w:rsid w:val="005B3473"/>
    <w:rsid w:val="005B4A39"/>
    <w:rsid w:val="005B5E62"/>
    <w:rsid w:val="005B68FC"/>
    <w:rsid w:val="005D426B"/>
    <w:rsid w:val="005D79A7"/>
    <w:rsid w:val="005D7E24"/>
    <w:rsid w:val="005E491C"/>
    <w:rsid w:val="005E6593"/>
    <w:rsid w:val="005E73F0"/>
    <w:rsid w:val="005F12B4"/>
    <w:rsid w:val="005F4A3C"/>
    <w:rsid w:val="005F63C7"/>
    <w:rsid w:val="006028B7"/>
    <w:rsid w:val="006050A4"/>
    <w:rsid w:val="00610A89"/>
    <w:rsid w:val="00611877"/>
    <w:rsid w:val="00616BB1"/>
    <w:rsid w:val="00622826"/>
    <w:rsid w:val="00622E40"/>
    <w:rsid w:val="00625843"/>
    <w:rsid w:val="006272E3"/>
    <w:rsid w:val="00630F89"/>
    <w:rsid w:val="00632788"/>
    <w:rsid w:val="00632FC3"/>
    <w:rsid w:val="00644253"/>
    <w:rsid w:val="00654454"/>
    <w:rsid w:val="006544F7"/>
    <w:rsid w:val="00654852"/>
    <w:rsid w:val="006620B5"/>
    <w:rsid w:val="00666789"/>
    <w:rsid w:val="00672B82"/>
    <w:rsid w:val="00680692"/>
    <w:rsid w:val="00697C9E"/>
    <w:rsid w:val="006A2360"/>
    <w:rsid w:val="006A3408"/>
    <w:rsid w:val="006A678F"/>
    <w:rsid w:val="006B0E7E"/>
    <w:rsid w:val="006B106A"/>
    <w:rsid w:val="006B2ECB"/>
    <w:rsid w:val="006B31AA"/>
    <w:rsid w:val="006B67D9"/>
    <w:rsid w:val="006B683F"/>
    <w:rsid w:val="006B6D71"/>
    <w:rsid w:val="006C13B7"/>
    <w:rsid w:val="006C1C15"/>
    <w:rsid w:val="006C1CD6"/>
    <w:rsid w:val="006C3D08"/>
    <w:rsid w:val="006C5714"/>
    <w:rsid w:val="006D1DDB"/>
    <w:rsid w:val="006D3554"/>
    <w:rsid w:val="006E2DE2"/>
    <w:rsid w:val="006E54EE"/>
    <w:rsid w:val="006F30B8"/>
    <w:rsid w:val="006F36E1"/>
    <w:rsid w:val="006F7E0E"/>
    <w:rsid w:val="00702843"/>
    <w:rsid w:val="00702E5B"/>
    <w:rsid w:val="00703D43"/>
    <w:rsid w:val="00712154"/>
    <w:rsid w:val="00713035"/>
    <w:rsid w:val="00714DB3"/>
    <w:rsid w:val="00717DEE"/>
    <w:rsid w:val="00722F9C"/>
    <w:rsid w:val="00725433"/>
    <w:rsid w:val="00730050"/>
    <w:rsid w:val="0073360A"/>
    <w:rsid w:val="00735419"/>
    <w:rsid w:val="00736BCC"/>
    <w:rsid w:val="007445AB"/>
    <w:rsid w:val="00753891"/>
    <w:rsid w:val="00754F61"/>
    <w:rsid w:val="00755BD5"/>
    <w:rsid w:val="00764F6F"/>
    <w:rsid w:val="007703CE"/>
    <w:rsid w:val="00782DC1"/>
    <w:rsid w:val="00785944"/>
    <w:rsid w:val="00785C8D"/>
    <w:rsid w:val="00796D9A"/>
    <w:rsid w:val="00797459"/>
    <w:rsid w:val="00797F95"/>
    <w:rsid w:val="007A3297"/>
    <w:rsid w:val="007A5A85"/>
    <w:rsid w:val="007A69BE"/>
    <w:rsid w:val="007A6C4D"/>
    <w:rsid w:val="007B065C"/>
    <w:rsid w:val="007B23C3"/>
    <w:rsid w:val="007B3113"/>
    <w:rsid w:val="007B4CE8"/>
    <w:rsid w:val="007C3477"/>
    <w:rsid w:val="007C532F"/>
    <w:rsid w:val="007D6ABF"/>
    <w:rsid w:val="007E3295"/>
    <w:rsid w:val="007E32CD"/>
    <w:rsid w:val="007E697A"/>
    <w:rsid w:val="007F382B"/>
    <w:rsid w:val="007F3C84"/>
    <w:rsid w:val="007F4016"/>
    <w:rsid w:val="007F4A7F"/>
    <w:rsid w:val="008016DF"/>
    <w:rsid w:val="0080258A"/>
    <w:rsid w:val="0081126F"/>
    <w:rsid w:val="00823440"/>
    <w:rsid w:val="00824480"/>
    <w:rsid w:val="00826849"/>
    <w:rsid w:val="008436D8"/>
    <w:rsid w:val="00844195"/>
    <w:rsid w:val="00850EF3"/>
    <w:rsid w:val="008510EE"/>
    <w:rsid w:val="00852C93"/>
    <w:rsid w:val="00852E0E"/>
    <w:rsid w:val="008533A7"/>
    <w:rsid w:val="00854C28"/>
    <w:rsid w:val="008553E1"/>
    <w:rsid w:val="00856673"/>
    <w:rsid w:val="00861167"/>
    <w:rsid w:val="008721A4"/>
    <w:rsid w:val="00873DC0"/>
    <w:rsid w:val="008833B1"/>
    <w:rsid w:val="008846F1"/>
    <w:rsid w:val="00893E33"/>
    <w:rsid w:val="00895AD4"/>
    <w:rsid w:val="008A01C5"/>
    <w:rsid w:val="008A2564"/>
    <w:rsid w:val="008A4139"/>
    <w:rsid w:val="008A6386"/>
    <w:rsid w:val="008A6DB6"/>
    <w:rsid w:val="008B217D"/>
    <w:rsid w:val="008B407C"/>
    <w:rsid w:val="008B47FC"/>
    <w:rsid w:val="008B7EEF"/>
    <w:rsid w:val="008C0BEE"/>
    <w:rsid w:val="008C1C75"/>
    <w:rsid w:val="008C45D8"/>
    <w:rsid w:val="008C5430"/>
    <w:rsid w:val="008C5606"/>
    <w:rsid w:val="008D0AE8"/>
    <w:rsid w:val="008D2929"/>
    <w:rsid w:val="008D29BF"/>
    <w:rsid w:val="008E0361"/>
    <w:rsid w:val="008E5B15"/>
    <w:rsid w:val="008E6720"/>
    <w:rsid w:val="008E75C6"/>
    <w:rsid w:val="008F2997"/>
    <w:rsid w:val="00903E4C"/>
    <w:rsid w:val="0090717B"/>
    <w:rsid w:val="00910DD4"/>
    <w:rsid w:val="00915069"/>
    <w:rsid w:val="00922B43"/>
    <w:rsid w:val="0093062B"/>
    <w:rsid w:val="00932F28"/>
    <w:rsid w:val="00934B96"/>
    <w:rsid w:val="00935073"/>
    <w:rsid w:val="0094186A"/>
    <w:rsid w:val="009566D2"/>
    <w:rsid w:val="009566D3"/>
    <w:rsid w:val="00957D76"/>
    <w:rsid w:val="009627F1"/>
    <w:rsid w:val="009643B9"/>
    <w:rsid w:val="00967041"/>
    <w:rsid w:val="00970E8C"/>
    <w:rsid w:val="009749B6"/>
    <w:rsid w:val="0097786A"/>
    <w:rsid w:val="00977D74"/>
    <w:rsid w:val="00983723"/>
    <w:rsid w:val="0098431C"/>
    <w:rsid w:val="009865CB"/>
    <w:rsid w:val="00990ADC"/>
    <w:rsid w:val="009935BF"/>
    <w:rsid w:val="00993DBE"/>
    <w:rsid w:val="00997D99"/>
    <w:rsid w:val="009A612E"/>
    <w:rsid w:val="009B29A8"/>
    <w:rsid w:val="009B3B0F"/>
    <w:rsid w:val="009C66A3"/>
    <w:rsid w:val="009D001D"/>
    <w:rsid w:val="009D5849"/>
    <w:rsid w:val="009E0C72"/>
    <w:rsid w:val="009E193A"/>
    <w:rsid w:val="009E4231"/>
    <w:rsid w:val="009E5D34"/>
    <w:rsid w:val="009E75AF"/>
    <w:rsid w:val="009F62D8"/>
    <w:rsid w:val="00A06E20"/>
    <w:rsid w:val="00A07BD2"/>
    <w:rsid w:val="00A1794C"/>
    <w:rsid w:val="00A24879"/>
    <w:rsid w:val="00A30A39"/>
    <w:rsid w:val="00A37051"/>
    <w:rsid w:val="00A406A1"/>
    <w:rsid w:val="00A50602"/>
    <w:rsid w:val="00A545A4"/>
    <w:rsid w:val="00A5734F"/>
    <w:rsid w:val="00A6237B"/>
    <w:rsid w:val="00A756B4"/>
    <w:rsid w:val="00A84003"/>
    <w:rsid w:val="00A93ED2"/>
    <w:rsid w:val="00A9567C"/>
    <w:rsid w:val="00A95820"/>
    <w:rsid w:val="00AA641B"/>
    <w:rsid w:val="00AA6A8B"/>
    <w:rsid w:val="00AB3539"/>
    <w:rsid w:val="00AC3566"/>
    <w:rsid w:val="00AD4F59"/>
    <w:rsid w:val="00AD565B"/>
    <w:rsid w:val="00AE1C04"/>
    <w:rsid w:val="00AE319A"/>
    <w:rsid w:val="00AE614F"/>
    <w:rsid w:val="00AE74D3"/>
    <w:rsid w:val="00B004D6"/>
    <w:rsid w:val="00B05389"/>
    <w:rsid w:val="00B13608"/>
    <w:rsid w:val="00B151BA"/>
    <w:rsid w:val="00B26FF3"/>
    <w:rsid w:val="00B338C2"/>
    <w:rsid w:val="00B3577E"/>
    <w:rsid w:val="00B40243"/>
    <w:rsid w:val="00B4150A"/>
    <w:rsid w:val="00B50CB1"/>
    <w:rsid w:val="00B52B31"/>
    <w:rsid w:val="00B56BAE"/>
    <w:rsid w:val="00B60FF4"/>
    <w:rsid w:val="00B61F21"/>
    <w:rsid w:val="00B6381C"/>
    <w:rsid w:val="00B639D0"/>
    <w:rsid w:val="00B75063"/>
    <w:rsid w:val="00B81D4F"/>
    <w:rsid w:val="00B821EE"/>
    <w:rsid w:val="00B83522"/>
    <w:rsid w:val="00B844F4"/>
    <w:rsid w:val="00B873D9"/>
    <w:rsid w:val="00B932DD"/>
    <w:rsid w:val="00B93431"/>
    <w:rsid w:val="00B9515B"/>
    <w:rsid w:val="00B95C96"/>
    <w:rsid w:val="00B968FB"/>
    <w:rsid w:val="00B97BC2"/>
    <w:rsid w:val="00BB30D9"/>
    <w:rsid w:val="00BB63ED"/>
    <w:rsid w:val="00BB643E"/>
    <w:rsid w:val="00BC5D39"/>
    <w:rsid w:val="00BC64D2"/>
    <w:rsid w:val="00BD162D"/>
    <w:rsid w:val="00BD6A2D"/>
    <w:rsid w:val="00BE7ED1"/>
    <w:rsid w:val="00BF4FD0"/>
    <w:rsid w:val="00C00FD5"/>
    <w:rsid w:val="00C10CD0"/>
    <w:rsid w:val="00C25359"/>
    <w:rsid w:val="00C30181"/>
    <w:rsid w:val="00C34991"/>
    <w:rsid w:val="00C35F55"/>
    <w:rsid w:val="00C40360"/>
    <w:rsid w:val="00C4581C"/>
    <w:rsid w:val="00C51A31"/>
    <w:rsid w:val="00C5304C"/>
    <w:rsid w:val="00C53A47"/>
    <w:rsid w:val="00C54320"/>
    <w:rsid w:val="00C54D54"/>
    <w:rsid w:val="00C57B08"/>
    <w:rsid w:val="00C60E89"/>
    <w:rsid w:val="00C638AF"/>
    <w:rsid w:val="00C66BDC"/>
    <w:rsid w:val="00C73CE9"/>
    <w:rsid w:val="00C75D50"/>
    <w:rsid w:val="00C82AEE"/>
    <w:rsid w:val="00C83CA0"/>
    <w:rsid w:val="00C83FFB"/>
    <w:rsid w:val="00C859DD"/>
    <w:rsid w:val="00C86623"/>
    <w:rsid w:val="00C873E2"/>
    <w:rsid w:val="00C90647"/>
    <w:rsid w:val="00C9369C"/>
    <w:rsid w:val="00C936C5"/>
    <w:rsid w:val="00C945C3"/>
    <w:rsid w:val="00C95E2C"/>
    <w:rsid w:val="00C97864"/>
    <w:rsid w:val="00CA31DB"/>
    <w:rsid w:val="00CA3CB5"/>
    <w:rsid w:val="00CA7779"/>
    <w:rsid w:val="00CA7C1D"/>
    <w:rsid w:val="00CB392C"/>
    <w:rsid w:val="00CC5E24"/>
    <w:rsid w:val="00CC7457"/>
    <w:rsid w:val="00CD121F"/>
    <w:rsid w:val="00CD4F0E"/>
    <w:rsid w:val="00CE1905"/>
    <w:rsid w:val="00CE32FB"/>
    <w:rsid w:val="00CF031E"/>
    <w:rsid w:val="00CF03C6"/>
    <w:rsid w:val="00CF0F72"/>
    <w:rsid w:val="00D026AC"/>
    <w:rsid w:val="00D053DE"/>
    <w:rsid w:val="00D10C49"/>
    <w:rsid w:val="00D12C37"/>
    <w:rsid w:val="00D212D1"/>
    <w:rsid w:val="00D21833"/>
    <w:rsid w:val="00D21A3C"/>
    <w:rsid w:val="00D2375D"/>
    <w:rsid w:val="00D24843"/>
    <w:rsid w:val="00D338CA"/>
    <w:rsid w:val="00D33973"/>
    <w:rsid w:val="00D4314C"/>
    <w:rsid w:val="00D44BD9"/>
    <w:rsid w:val="00D56A61"/>
    <w:rsid w:val="00D56FF6"/>
    <w:rsid w:val="00D67A3C"/>
    <w:rsid w:val="00D7350E"/>
    <w:rsid w:val="00D85E26"/>
    <w:rsid w:val="00D8691F"/>
    <w:rsid w:val="00D96A74"/>
    <w:rsid w:val="00DA3569"/>
    <w:rsid w:val="00DE0F1C"/>
    <w:rsid w:val="00DE1B7D"/>
    <w:rsid w:val="00DE4814"/>
    <w:rsid w:val="00DE656F"/>
    <w:rsid w:val="00DE76BA"/>
    <w:rsid w:val="00DF4407"/>
    <w:rsid w:val="00DF47D3"/>
    <w:rsid w:val="00DF7A7A"/>
    <w:rsid w:val="00E01B2E"/>
    <w:rsid w:val="00E0232E"/>
    <w:rsid w:val="00E04CDB"/>
    <w:rsid w:val="00E06CB0"/>
    <w:rsid w:val="00E11354"/>
    <w:rsid w:val="00E17B1C"/>
    <w:rsid w:val="00E24C31"/>
    <w:rsid w:val="00E33AEF"/>
    <w:rsid w:val="00E371D3"/>
    <w:rsid w:val="00E40976"/>
    <w:rsid w:val="00E448FD"/>
    <w:rsid w:val="00E50532"/>
    <w:rsid w:val="00E506AB"/>
    <w:rsid w:val="00E525B5"/>
    <w:rsid w:val="00E54A6A"/>
    <w:rsid w:val="00E579FE"/>
    <w:rsid w:val="00E706F6"/>
    <w:rsid w:val="00E76281"/>
    <w:rsid w:val="00E775D9"/>
    <w:rsid w:val="00E805FA"/>
    <w:rsid w:val="00E8791D"/>
    <w:rsid w:val="00E97D27"/>
    <w:rsid w:val="00EA145B"/>
    <w:rsid w:val="00EA1E10"/>
    <w:rsid w:val="00EA3BB6"/>
    <w:rsid w:val="00EA4EC7"/>
    <w:rsid w:val="00EB36A7"/>
    <w:rsid w:val="00EB5C0C"/>
    <w:rsid w:val="00EB724F"/>
    <w:rsid w:val="00EB7A24"/>
    <w:rsid w:val="00EC1222"/>
    <w:rsid w:val="00EC15C1"/>
    <w:rsid w:val="00EC251C"/>
    <w:rsid w:val="00ED28DE"/>
    <w:rsid w:val="00ED2A78"/>
    <w:rsid w:val="00ED5F5D"/>
    <w:rsid w:val="00ED6CAB"/>
    <w:rsid w:val="00ED6E9D"/>
    <w:rsid w:val="00EE0532"/>
    <w:rsid w:val="00EE1055"/>
    <w:rsid w:val="00EE582D"/>
    <w:rsid w:val="00EE76ED"/>
    <w:rsid w:val="00EF0B45"/>
    <w:rsid w:val="00F00216"/>
    <w:rsid w:val="00F043E0"/>
    <w:rsid w:val="00F0544E"/>
    <w:rsid w:val="00F073C7"/>
    <w:rsid w:val="00F1214D"/>
    <w:rsid w:val="00F13E20"/>
    <w:rsid w:val="00F31AB6"/>
    <w:rsid w:val="00F33A69"/>
    <w:rsid w:val="00F36557"/>
    <w:rsid w:val="00F4549B"/>
    <w:rsid w:val="00F51205"/>
    <w:rsid w:val="00F52FA2"/>
    <w:rsid w:val="00F54689"/>
    <w:rsid w:val="00F61D4B"/>
    <w:rsid w:val="00F62D33"/>
    <w:rsid w:val="00F64E76"/>
    <w:rsid w:val="00F67C26"/>
    <w:rsid w:val="00F74224"/>
    <w:rsid w:val="00F762EA"/>
    <w:rsid w:val="00F77610"/>
    <w:rsid w:val="00F7784A"/>
    <w:rsid w:val="00F77E8D"/>
    <w:rsid w:val="00F77F03"/>
    <w:rsid w:val="00F81093"/>
    <w:rsid w:val="00F83A05"/>
    <w:rsid w:val="00F86A3C"/>
    <w:rsid w:val="00F86C6E"/>
    <w:rsid w:val="00F92000"/>
    <w:rsid w:val="00F92DE4"/>
    <w:rsid w:val="00F9567C"/>
    <w:rsid w:val="00FA7F8B"/>
    <w:rsid w:val="00FB44F5"/>
    <w:rsid w:val="00FB4B98"/>
    <w:rsid w:val="00FB61E7"/>
    <w:rsid w:val="00FC1B97"/>
    <w:rsid w:val="00FC61AF"/>
    <w:rsid w:val="00FC687F"/>
    <w:rsid w:val="00FD17AF"/>
    <w:rsid w:val="00FD1805"/>
    <w:rsid w:val="00FD4015"/>
    <w:rsid w:val="00FD4597"/>
    <w:rsid w:val="00FE271F"/>
    <w:rsid w:val="00FE31EA"/>
    <w:rsid w:val="00FE5C13"/>
    <w:rsid w:val="00FE798A"/>
    <w:rsid w:val="00FF0DCC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4F5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Bloccoditest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Bloccoditest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emf"/><Relationship Id="rId12" Type="http://schemas.openxmlformats.org/officeDocument/2006/relationships/image" Target="media/image6.emf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507</Words>
  <Characters>2896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3397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user</cp:lastModifiedBy>
  <cp:revision>5</cp:revision>
  <cp:lastPrinted>2019-07-23T10:44:00Z</cp:lastPrinted>
  <dcterms:created xsi:type="dcterms:W3CDTF">2020-05-26T14:08:00Z</dcterms:created>
  <dcterms:modified xsi:type="dcterms:W3CDTF">2020-05-26T14:09:00Z</dcterms:modified>
</cp:coreProperties>
</file>