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068" w:rsidRDefault="00E47068" w:rsidP="00E47068">
      <w:pPr>
        <w:pStyle w:val="NormaleWeb"/>
        <w:shd w:val="clear" w:color="auto" w:fill="FFFFFF"/>
        <w:spacing w:before="0" w:beforeAutospacing="0" w:after="0" w:afterAutospacing="0"/>
        <w:jc w:val="center"/>
        <w:rPr>
          <w:rStyle w:val="Enfasigrassetto"/>
          <w:color w:val="C00000"/>
          <w:u w:val="single"/>
        </w:rPr>
      </w:pPr>
      <w:bookmarkStart w:id="0" w:name="_GoBack"/>
      <w:bookmarkEnd w:id="0"/>
      <w:r>
        <w:rPr>
          <w:rStyle w:val="Enfasigrassetto"/>
          <w:u w:val="single"/>
        </w:rPr>
        <w:t>Comunicato stampa</w:t>
      </w:r>
    </w:p>
    <w:p w:rsidR="00E47068" w:rsidRDefault="00E47068" w:rsidP="00E47068">
      <w:pPr>
        <w:pStyle w:val="NormaleWeb"/>
        <w:shd w:val="clear" w:color="auto" w:fill="FFFFFF"/>
        <w:spacing w:before="0" w:beforeAutospacing="0" w:after="0" w:afterAutospacing="0"/>
        <w:jc w:val="center"/>
        <w:rPr>
          <w:rStyle w:val="Enfasigrassetto"/>
        </w:rPr>
      </w:pPr>
    </w:p>
    <w:p w:rsidR="00E47068" w:rsidRDefault="00680C76" w:rsidP="00E47068">
      <w:pPr>
        <w:pStyle w:val="NormaleWeb"/>
        <w:shd w:val="clear" w:color="auto" w:fill="FFFFFF"/>
        <w:spacing w:before="0" w:beforeAutospacing="0" w:after="0" w:afterAutospacing="0"/>
        <w:jc w:val="center"/>
        <w:rPr>
          <w:rStyle w:val="Enfasigrassetto"/>
        </w:rPr>
      </w:pPr>
      <w:r>
        <w:rPr>
          <w:rStyle w:val="Enfasigrassetto"/>
        </w:rPr>
        <w:t>PIU’ FORTE</w:t>
      </w:r>
      <w:r w:rsidR="00E47068">
        <w:rPr>
          <w:rStyle w:val="Enfasigrassetto"/>
        </w:rPr>
        <w:t xml:space="preserve"> IL RUOLO DELLA CULTURA NELL’ECONOMIA ITALIANA:</w:t>
      </w:r>
      <w:r w:rsidR="00E47068">
        <w:rPr>
          <w:b/>
          <w:bCs/>
        </w:rPr>
        <w:br/>
      </w:r>
      <w:r w:rsidR="00E47068">
        <w:rPr>
          <w:rStyle w:val="Enfasigrassetto"/>
        </w:rPr>
        <w:t>I DATI DI “IO SONO CULTURA” 2019 - IL RAPPORTO ANNUALE DI SYMBOLA E UNIONCAMERE – IX EDIZIONE</w:t>
      </w:r>
    </w:p>
    <w:p w:rsidR="00E47068" w:rsidRDefault="00E47068" w:rsidP="00E47068">
      <w:pPr>
        <w:pStyle w:val="NormaleWeb"/>
        <w:shd w:val="clear" w:color="auto" w:fill="FFFFFF"/>
        <w:spacing w:before="0" w:beforeAutospacing="0" w:after="0" w:afterAutospacing="0"/>
        <w:jc w:val="center"/>
      </w:pPr>
    </w:p>
    <w:p w:rsidR="004F0783" w:rsidRDefault="00E47068" w:rsidP="00E47068">
      <w:pPr>
        <w:pStyle w:val="NormaleWeb"/>
        <w:shd w:val="clear" w:color="auto" w:fill="FFFFFF"/>
        <w:spacing w:before="0" w:beforeAutospacing="0" w:after="0" w:afterAutospacing="0"/>
        <w:jc w:val="center"/>
        <w:rPr>
          <w:rStyle w:val="Enfasigrassetto"/>
        </w:rPr>
      </w:pPr>
      <w:r>
        <w:rPr>
          <w:rStyle w:val="Enfasigrassetto"/>
        </w:rPr>
        <w:t>IL SISTEMA PRODUTTIVO CULTURALE E CREATIVO DEL 2018 CRESCE RISPETTO ALL’ANNO PRECEDENTE E SFIORA I 96 MILIARDI DI EURO</w:t>
      </w:r>
    </w:p>
    <w:p w:rsidR="00E47068" w:rsidRDefault="000108A2" w:rsidP="00E47068">
      <w:pPr>
        <w:pStyle w:val="NormaleWeb"/>
        <w:shd w:val="clear" w:color="auto" w:fill="FFFFFF"/>
        <w:spacing w:before="0" w:beforeAutospacing="0" w:after="0" w:afterAutospacing="0"/>
        <w:jc w:val="center"/>
        <w:rPr>
          <w:rStyle w:val="Enfasigrassetto"/>
        </w:rPr>
      </w:pPr>
      <w:r>
        <w:rPr>
          <w:rStyle w:val="Enfasigrassetto"/>
        </w:rPr>
        <w:t>COMPLESSIVAMENTE MUOVE 265,4 MILIARDI DI EURO</w:t>
      </w:r>
    </w:p>
    <w:p w:rsidR="00E47068" w:rsidRDefault="00E47068" w:rsidP="00746842">
      <w:pPr>
        <w:pStyle w:val="NormaleWeb"/>
        <w:shd w:val="clear" w:color="auto" w:fill="FFFFFF"/>
        <w:spacing w:before="0" w:beforeAutospacing="0" w:after="0" w:afterAutospacing="0"/>
        <w:rPr>
          <w:rStyle w:val="Enfasigrassetto"/>
        </w:rPr>
      </w:pPr>
    </w:p>
    <w:p w:rsidR="00E47068" w:rsidRDefault="00E47068" w:rsidP="00E47068">
      <w:pPr>
        <w:pStyle w:val="NormaleWeb"/>
        <w:shd w:val="clear" w:color="auto" w:fill="FFFFFF"/>
        <w:spacing w:before="0" w:beforeAutospacing="0" w:after="0" w:afterAutospacing="0"/>
        <w:jc w:val="center"/>
        <w:rPr>
          <w:rStyle w:val="Enfasigrassetto"/>
        </w:rPr>
      </w:pPr>
      <w:r>
        <w:rPr>
          <w:rStyle w:val="Enfasigrassetto"/>
        </w:rPr>
        <w:t>NEL 2018 CRESCONO GLI OCCUPATI NELLA CULTURA +1,5% E SONO 1,55 MILIONI CONFERMANDO UN CONTRIBUTO ALL’OCCUPAZIONE COMPLESSIVA DEL PAESE PARI AL 6,1%</w:t>
      </w:r>
    </w:p>
    <w:p w:rsidR="00E47068" w:rsidRDefault="00E47068" w:rsidP="00E47068">
      <w:pPr>
        <w:pStyle w:val="NormaleWeb"/>
        <w:shd w:val="clear" w:color="auto" w:fill="FFFFFF"/>
        <w:spacing w:before="0" w:beforeAutospacing="0" w:after="0" w:afterAutospacing="0"/>
        <w:jc w:val="center"/>
      </w:pPr>
    </w:p>
    <w:p w:rsidR="00E47068" w:rsidRDefault="00E47068" w:rsidP="00E47068">
      <w:pPr>
        <w:pStyle w:val="NormaleWeb"/>
        <w:shd w:val="clear" w:color="auto" w:fill="FFFFFF"/>
        <w:spacing w:before="0" w:beforeAutospacing="0" w:after="0" w:afterAutospacing="0"/>
        <w:jc w:val="center"/>
        <w:rPr>
          <w:rStyle w:val="Enfasigrassetto"/>
        </w:rPr>
      </w:pPr>
      <w:r>
        <w:rPr>
          <w:rStyle w:val="Enfasigrassetto"/>
        </w:rPr>
        <w:t>LAZIO E LOMBARDIA REGIONI CHE PRODUCONO PIU’ RICCHEZZA CON LA CULTURA. ROMA, MILANO, TORINO, SIENA, AREZZO, FIRENZE, AOSTA, ANCONA, BOLOGNA E MODENA NELLA TOP TEN DELLE PROVINCE</w:t>
      </w:r>
    </w:p>
    <w:p w:rsidR="00E47068" w:rsidRDefault="00E47068" w:rsidP="00E47068">
      <w:pPr>
        <w:pStyle w:val="NormaleWeb"/>
        <w:shd w:val="clear" w:color="auto" w:fill="FFFFFF"/>
        <w:spacing w:before="0" w:beforeAutospacing="0" w:after="0" w:afterAutospacing="0"/>
        <w:jc w:val="center"/>
      </w:pPr>
    </w:p>
    <w:p w:rsidR="00E47068" w:rsidRDefault="00E47068" w:rsidP="00E47068">
      <w:pPr>
        <w:pStyle w:val="NormaleWeb"/>
        <w:shd w:val="clear" w:color="auto" w:fill="FFFFFF"/>
        <w:spacing w:before="0" w:beforeAutospacing="0" w:after="0" w:afterAutospacing="0"/>
        <w:jc w:val="center"/>
        <w:rPr>
          <w:b/>
          <w:bCs/>
        </w:rPr>
      </w:pPr>
      <w:r>
        <w:rPr>
          <w:rStyle w:val="Enfasigrassetto"/>
        </w:rPr>
        <w:t>REALACCI: “BELLEZZA, CULTURA E CREATIVITA’ FANNO AUMENTARE RICCHEZZA, OCCUPAZIONE E IL SOFT-POWER DELL’ITALIA</w:t>
      </w:r>
      <w:r>
        <w:rPr>
          <w:b/>
          <w:bCs/>
        </w:rPr>
        <w:t>”</w:t>
      </w:r>
    </w:p>
    <w:p w:rsidR="00E47068" w:rsidRDefault="00E47068" w:rsidP="00E47068">
      <w:pPr>
        <w:pStyle w:val="NormaleWeb"/>
        <w:shd w:val="clear" w:color="auto" w:fill="FFFFFF"/>
        <w:spacing w:before="0" w:beforeAutospacing="0" w:after="0" w:afterAutospacing="0"/>
        <w:jc w:val="center"/>
        <w:rPr>
          <w:b/>
          <w:bCs/>
        </w:rPr>
      </w:pPr>
    </w:p>
    <w:p w:rsidR="00E47068" w:rsidRDefault="00E47068" w:rsidP="00E47068">
      <w:pPr>
        <w:pStyle w:val="NormaleWeb"/>
        <w:shd w:val="clear" w:color="auto" w:fill="FFFFFF"/>
        <w:spacing w:before="0" w:beforeAutospacing="0" w:after="0" w:afterAutospacing="0"/>
        <w:jc w:val="center"/>
        <w:rPr>
          <w:rStyle w:val="Enfasigrassetto"/>
        </w:rPr>
      </w:pPr>
      <w:r>
        <w:rPr>
          <w:rStyle w:val="Enfasigrassetto"/>
        </w:rPr>
        <w:t xml:space="preserve">BONISOLI: </w:t>
      </w:r>
      <w:r w:rsidR="00371203">
        <w:rPr>
          <w:rStyle w:val="Enfasigrassetto"/>
        </w:rPr>
        <w:t>“</w:t>
      </w:r>
      <w:r w:rsidR="00E531AA">
        <w:rPr>
          <w:rStyle w:val="Enfasigrassetto"/>
        </w:rPr>
        <w:t>COMPARTO CULTURA STA CRESCENDO</w:t>
      </w:r>
      <w:r w:rsidR="00371203">
        <w:rPr>
          <w:rStyle w:val="Enfasigrassetto"/>
        </w:rPr>
        <w:t>”</w:t>
      </w:r>
    </w:p>
    <w:p w:rsidR="00E47068" w:rsidRDefault="00E47068" w:rsidP="00E47068">
      <w:pPr>
        <w:pStyle w:val="NormaleWeb"/>
        <w:shd w:val="clear" w:color="auto" w:fill="FFFFFF"/>
        <w:spacing w:before="0" w:beforeAutospacing="0" w:after="0" w:afterAutospacing="0"/>
        <w:jc w:val="center"/>
        <w:rPr>
          <w:rStyle w:val="Enfasigrassetto"/>
        </w:rPr>
      </w:pPr>
    </w:p>
    <w:p w:rsidR="00E47068" w:rsidRDefault="00F70F01" w:rsidP="00E47068">
      <w:pPr>
        <w:pStyle w:val="NormaleWeb"/>
        <w:shd w:val="clear" w:color="auto" w:fill="FFFFFF"/>
        <w:spacing w:before="0" w:beforeAutospacing="0" w:after="0" w:afterAutospacing="0"/>
        <w:jc w:val="center"/>
        <w:rPr>
          <w:rStyle w:val="Enfasigrassetto"/>
        </w:rPr>
      </w:pPr>
      <w:r>
        <w:rPr>
          <w:rStyle w:val="Enfasigrassetto"/>
        </w:rPr>
        <w:t>TRIPOLI</w:t>
      </w:r>
      <w:r w:rsidR="00E47068">
        <w:rPr>
          <w:rStyle w:val="Enfasigrassetto"/>
        </w:rPr>
        <w:t xml:space="preserve">: </w:t>
      </w:r>
      <w:r w:rsidR="00371203" w:rsidRPr="00FB596D">
        <w:rPr>
          <w:rStyle w:val="Enfasigrassetto"/>
        </w:rPr>
        <w:t>“LA CULTURA SI FA IMPRESA E L’IMPRESA FA CULTURA”</w:t>
      </w:r>
    </w:p>
    <w:p w:rsidR="00E47068" w:rsidRDefault="00E47068" w:rsidP="00E47068">
      <w:pPr>
        <w:pStyle w:val="NormaleWeb"/>
        <w:shd w:val="clear" w:color="auto" w:fill="FFFFFF"/>
        <w:spacing w:before="0" w:beforeAutospacing="0" w:after="0" w:afterAutospacing="0"/>
        <w:jc w:val="center"/>
      </w:pPr>
    </w:p>
    <w:p w:rsidR="00E47068" w:rsidRDefault="00E47068" w:rsidP="00E47068">
      <w:pPr>
        <w:pStyle w:val="NormaleWeb"/>
        <w:shd w:val="clear" w:color="auto" w:fill="FFFFFF"/>
        <w:spacing w:before="0" w:beforeAutospacing="0" w:after="0" w:afterAutospacing="0"/>
        <w:jc w:val="both"/>
      </w:pPr>
      <w:r>
        <w:br/>
      </w:r>
      <w:r>
        <w:rPr>
          <w:rStyle w:val="Enfasigrassetto"/>
        </w:rPr>
        <w:t>Roma 20 giugno 2019</w:t>
      </w:r>
      <w:r>
        <w:t> </w:t>
      </w:r>
    </w:p>
    <w:p w:rsidR="00E47068" w:rsidRDefault="00E47068" w:rsidP="00E47068">
      <w:pPr>
        <w:pStyle w:val="NormaleWeb"/>
        <w:shd w:val="clear" w:color="auto" w:fill="FFFFFF"/>
        <w:spacing w:before="0" w:beforeAutospacing="0" w:after="0" w:afterAutospacing="0"/>
        <w:jc w:val="both"/>
      </w:pPr>
    </w:p>
    <w:p w:rsidR="00E47068" w:rsidRDefault="00E47068" w:rsidP="00E47068">
      <w:pPr>
        <w:pStyle w:val="NormaleWeb"/>
        <w:shd w:val="clear" w:color="auto" w:fill="FFFFFF"/>
        <w:spacing w:before="0" w:beforeAutospacing="0" w:after="0" w:afterAutospacing="0"/>
        <w:jc w:val="both"/>
      </w:pPr>
      <w:r>
        <w:t>La cultura è uno dei motori trainanti dell’economia italiana, uno dei fattori che più esaltano la qualità e la competitività del made in Italy. Il Sistema Produttivo Culturale e Creativo, fatto da imprese, PA e non profit, genera quasi 96 miliardi di euro e attiva altri settori dell’economia, arrivando a muovere, nell’insieme, 265,4 miliardi, equivalenti al 16,9% del valore aggiunto nazionale. Un dato comprensivo del valore prodotto dalle filiere del settore, ma anche di quella parte dell’economia che beneficia di cultura e creatività e che da queste viene stimolata, a cominciare dal turismo. Una ricchezza che si riflette in positivo anche sull’occupazione: il solo Sistema Produttivo Culturale e Creativo dà lavoro a 1,55 milioni di persone, che rappresentano il 6,1% del totale degli occupati in Italia. Nel complesso, quello produttivo culturale e creativo è un sistema con il segno più: nel 2018 ha prodotto un valore aggiunto del 2,9% (a prezzi correnti) superiore all’anno precedente. Gli occupati sono 1.55 milioni con una crescita dell’1,5%, superiore a quella del complesso dell’economia (+0,9%).</w:t>
      </w:r>
    </w:p>
    <w:p w:rsidR="00E47068" w:rsidRDefault="00E47068" w:rsidP="00E47068">
      <w:pPr>
        <w:pStyle w:val="NormaleWeb"/>
        <w:shd w:val="clear" w:color="auto" w:fill="FFFFFF"/>
        <w:spacing w:before="0" w:beforeAutospacing="0" w:after="0" w:afterAutospacing="0"/>
        <w:jc w:val="both"/>
      </w:pPr>
    </w:p>
    <w:p w:rsidR="00E47068" w:rsidRDefault="00E47068" w:rsidP="00E47068">
      <w:pPr>
        <w:pStyle w:val="NormaleWeb"/>
        <w:shd w:val="clear" w:color="auto" w:fill="FFFFFF"/>
        <w:spacing w:before="0" w:beforeAutospacing="0" w:after="0" w:afterAutospacing="0"/>
        <w:jc w:val="both"/>
      </w:pPr>
      <w:r>
        <w:t>È quanto emerge dal Rapporto 2019 “Io sono cultura – l’Italia della qualità e della bellezza sfida la crisi”, arrivato alla IX edizione, elaborato da Fondazione Symbola e Unioncamere, con la collaborazione e il sostegno della Regione Marche, presentato oggi a Roma</w:t>
      </w:r>
      <w:r w:rsidR="00AE3B70">
        <w:t>,</w:t>
      </w:r>
      <w:r w:rsidR="002B265F">
        <w:t xml:space="preserve"> al MIBAC,</w:t>
      </w:r>
      <w:r w:rsidR="00AE3B70">
        <w:t xml:space="preserve"> dal </w:t>
      </w:r>
      <w:r w:rsidR="00AE3B70">
        <w:lastRenderedPageBreak/>
        <w:t>presidente di Symbola, Ermete Realacci, da</w:t>
      </w:r>
      <w:r>
        <w:t xml:space="preserve">l </w:t>
      </w:r>
      <w:r w:rsidR="00A87AE8">
        <w:t>S</w:t>
      </w:r>
      <w:r>
        <w:t>egretario generale di Unioncamere Giuseppe Tripoli,</w:t>
      </w:r>
      <w:r w:rsidR="001A3FD1">
        <w:t xml:space="preserve"> </w:t>
      </w:r>
      <w:r>
        <w:t xml:space="preserve">con il coordinamento del </w:t>
      </w:r>
      <w:r w:rsidR="00A87AE8">
        <w:t>S</w:t>
      </w:r>
      <w:r>
        <w:t xml:space="preserve">egretario generale di Symbola, Fabio Renzi. </w:t>
      </w:r>
    </w:p>
    <w:p w:rsidR="00E47068" w:rsidRDefault="00E47068" w:rsidP="00E47068">
      <w:pPr>
        <w:pStyle w:val="NormaleWeb"/>
        <w:shd w:val="clear" w:color="auto" w:fill="FFFFFF"/>
        <w:spacing w:before="0" w:beforeAutospacing="0" w:after="0" w:afterAutospacing="0"/>
        <w:jc w:val="both"/>
      </w:pPr>
      <w:r>
        <w:t>L’unico studio in Italia che, annualmente, quantifica il peso della cultura e della creatività nell’economia nazionale. I numeri dimostrano che la cultura è uno dei motori della nostra economia e della ripresa.</w:t>
      </w:r>
    </w:p>
    <w:p w:rsidR="00E47068" w:rsidRDefault="00E47068" w:rsidP="00E47068">
      <w:pPr>
        <w:pStyle w:val="NormaleWeb"/>
        <w:shd w:val="clear" w:color="auto" w:fill="FFFFFF"/>
        <w:spacing w:before="0" w:beforeAutospacing="0" w:after="0" w:afterAutospacing="0"/>
        <w:jc w:val="both"/>
      </w:pPr>
    </w:p>
    <w:p w:rsidR="00E47068" w:rsidRDefault="00E47068" w:rsidP="00E47068">
      <w:pPr>
        <w:pStyle w:val="NormaleWeb"/>
        <w:shd w:val="clear" w:color="auto" w:fill="FFFFFF"/>
        <w:spacing w:before="0" w:beforeAutospacing="0" w:after="0" w:afterAutospacing="0"/>
        <w:jc w:val="both"/>
      </w:pPr>
      <w:r>
        <w:t xml:space="preserve">“Cultura, creatività e bellezza sono la chiave di volta di molti settori produttivi di un’Italia che fa l’Italia – commenta </w:t>
      </w:r>
      <w:r>
        <w:rPr>
          <w:b/>
          <w:bCs/>
        </w:rPr>
        <w:t>Ermete Realacci</w:t>
      </w:r>
      <w:r>
        <w:t xml:space="preserve">, presidente della Fondazione Symbola - e consolidano la missione del nostro Paese orientata alla qualità e all’innovazione: un soft power che attraversa prodotti e territori e rappresenta un prezioso biglietto da visita. Un’infrastruttura necessaria anche per affrontare le sfide che abbiamo davanti a cominciare dalla crisi climatica. Se l’Italia produce valore e lavoro puntando sulla cultura e sulla bellezza, aiuta il futuro e favorisce un’economia più a misura d’uomo e, anche per questo, più competitiva”. </w:t>
      </w:r>
    </w:p>
    <w:p w:rsidR="00E47068" w:rsidRDefault="00E47068" w:rsidP="00E47068">
      <w:pPr>
        <w:pStyle w:val="NormaleWeb"/>
        <w:shd w:val="clear" w:color="auto" w:fill="FFFFFF"/>
        <w:spacing w:before="0" w:beforeAutospacing="0" w:after="0" w:afterAutospacing="0"/>
        <w:jc w:val="both"/>
        <w:rPr>
          <w:b/>
          <w:bCs/>
        </w:rPr>
      </w:pPr>
    </w:p>
    <w:p w:rsidR="00E47068" w:rsidRDefault="00E47068" w:rsidP="001D20EC">
      <w:pPr>
        <w:pStyle w:val="NormaleWeb"/>
        <w:shd w:val="clear" w:color="auto" w:fill="FFFFFF"/>
        <w:spacing w:after="0"/>
        <w:jc w:val="both"/>
        <w:rPr>
          <w:shd w:val="clear" w:color="auto" w:fill="FFFFFF"/>
        </w:rPr>
      </w:pPr>
      <w:r>
        <w:rPr>
          <w:b/>
          <w:bCs/>
          <w:shd w:val="clear" w:color="auto" w:fill="FFFFFF"/>
        </w:rPr>
        <w:t>Alberto Bonisoli</w:t>
      </w:r>
      <w:r>
        <w:rPr>
          <w:shd w:val="clear" w:color="auto" w:fill="FFFFFF"/>
        </w:rPr>
        <w:t xml:space="preserve"> (M</w:t>
      </w:r>
      <w:r w:rsidR="005E4691">
        <w:rPr>
          <w:shd w:val="clear" w:color="auto" w:fill="FFFFFF"/>
        </w:rPr>
        <w:t xml:space="preserve">inistro </w:t>
      </w:r>
      <w:r w:rsidR="00582108">
        <w:rPr>
          <w:shd w:val="clear" w:color="auto" w:fill="FFFFFF"/>
        </w:rPr>
        <w:t>per i</w:t>
      </w:r>
      <w:r w:rsidR="00990A11">
        <w:rPr>
          <w:shd w:val="clear" w:color="auto" w:fill="FFFFFF"/>
        </w:rPr>
        <w:t xml:space="preserve"> </w:t>
      </w:r>
      <w:r w:rsidR="005E4691">
        <w:rPr>
          <w:shd w:val="clear" w:color="auto" w:fill="FFFFFF"/>
        </w:rPr>
        <w:t>Beni</w:t>
      </w:r>
      <w:r w:rsidR="00990A11">
        <w:rPr>
          <w:shd w:val="clear" w:color="auto" w:fill="FFFFFF"/>
        </w:rPr>
        <w:t xml:space="preserve"> e </w:t>
      </w:r>
      <w:r w:rsidR="00582108">
        <w:rPr>
          <w:shd w:val="clear" w:color="auto" w:fill="FFFFFF"/>
        </w:rPr>
        <w:t xml:space="preserve">le </w:t>
      </w:r>
      <w:r w:rsidR="00990A11">
        <w:rPr>
          <w:shd w:val="clear" w:color="auto" w:fill="FFFFFF"/>
        </w:rPr>
        <w:t>Attività</w:t>
      </w:r>
      <w:r w:rsidR="005E4691">
        <w:rPr>
          <w:shd w:val="clear" w:color="auto" w:fill="FFFFFF"/>
        </w:rPr>
        <w:t xml:space="preserve"> Culturali</w:t>
      </w:r>
      <w:r>
        <w:rPr>
          <w:shd w:val="clear" w:color="auto" w:fill="FFFFFF"/>
        </w:rPr>
        <w:t xml:space="preserve">) </w:t>
      </w:r>
      <w:r w:rsidR="001D20EC">
        <w:rPr>
          <w:shd w:val="clear" w:color="auto" w:fill="FFFFFF"/>
        </w:rPr>
        <w:t>“</w:t>
      </w:r>
      <w:r w:rsidR="001D20EC" w:rsidRPr="001D20EC">
        <w:rPr>
          <w:shd w:val="clear" w:color="auto" w:fill="FFFFFF"/>
        </w:rPr>
        <w:t>Che il comparto cultura stia crescendo, non mi sorprende. Uno degli argomenti che affronto sempre, quando incontro le delegazioni di altri Paesi, sono proprio le potenziali collaborazioni con l’Italia sul fronte delle industrie culturali e creative. E spesso sono proprio loro a chiedermi di avviare delle cooperazioni in tal senso.</w:t>
      </w:r>
      <w:r w:rsidR="001D20EC">
        <w:rPr>
          <w:shd w:val="clear" w:color="auto" w:fill="FFFFFF"/>
        </w:rPr>
        <w:t xml:space="preserve"> </w:t>
      </w:r>
      <w:r w:rsidR="001D20EC" w:rsidRPr="001D20EC">
        <w:rPr>
          <w:shd w:val="clear" w:color="auto" w:fill="FFFFFF"/>
        </w:rPr>
        <w:t>Il trend in crescita, però, potrebbe anche essere più accentuato ed è su questo che stiamo lavorando al Ministero. Presto al Mibac ci sarà un servizio dedicato alla moda e al design. Questo perché il design e la moda sono due settori culturali trainanti per l’economia italiana, sia in casa che all’estero.</w:t>
      </w:r>
      <w:r w:rsidR="001D20EC">
        <w:rPr>
          <w:shd w:val="clear" w:color="auto" w:fill="FFFFFF"/>
        </w:rPr>
        <w:t xml:space="preserve"> </w:t>
      </w:r>
      <w:r w:rsidR="001D20EC" w:rsidRPr="001D20EC">
        <w:rPr>
          <w:shd w:val="clear" w:color="auto" w:fill="FFFFFF"/>
        </w:rPr>
        <w:t>Inoltre ho voluto investire sulla formazione di una commissione di studio per trovare le migliori strategie di interazione tra le reti museali e i sistemi territoriali. Grazie, infatti, alla collaborazione tra tutti i soggetti in campo, istituzioni, aziende e associazioni, si possono ottenere risultati molto più efficaci in termini di promozione del nostro patrimonio e di presenze turistiche.</w:t>
      </w:r>
      <w:r w:rsidR="001D20EC">
        <w:rPr>
          <w:shd w:val="clear" w:color="auto" w:fill="FFFFFF"/>
        </w:rPr>
        <w:t xml:space="preserve"> </w:t>
      </w:r>
      <w:r w:rsidR="001D20EC" w:rsidRPr="001D20EC">
        <w:rPr>
          <w:shd w:val="clear" w:color="auto" w:fill="FFFFFF"/>
        </w:rPr>
        <w:t>Non è mai stato un problema di fondi ma di come spenderli in modo efficace ed efficiente</w:t>
      </w:r>
      <w:r w:rsidR="005D5369">
        <w:rPr>
          <w:shd w:val="clear" w:color="auto" w:fill="FFFFFF"/>
        </w:rPr>
        <w:t>”</w:t>
      </w:r>
      <w:r w:rsidR="001D20EC" w:rsidRPr="001D20EC">
        <w:rPr>
          <w:shd w:val="clear" w:color="auto" w:fill="FFFFFF"/>
        </w:rPr>
        <w:t>.</w:t>
      </w:r>
    </w:p>
    <w:p w:rsidR="00371203" w:rsidRPr="00371203" w:rsidRDefault="00371203" w:rsidP="00371203">
      <w:pPr>
        <w:pStyle w:val="NormaleWeb"/>
        <w:shd w:val="clear" w:color="auto" w:fill="FFFFFF"/>
        <w:spacing w:before="0" w:beforeAutospacing="0" w:after="0" w:afterAutospacing="0"/>
        <w:jc w:val="both"/>
        <w:rPr>
          <w:b/>
          <w:bCs/>
        </w:rPr>
      </w:pPr>
      <w:r w:rsidRPr="00FB596D">
        <w:t xml:space="preserve">“L’Italia vanta la quota più elevata di imprese dei settori culturali in Europa, precedendo Francia, Germania, Spagna e Regno Unito”, sottolinea il segretario generale di </w:t>
      </w:r>
      <w:r w:rsidRPr="00FB596D">
        <w:rPr>
          <w:b/>
        </w:rPr>
        <w:t>Unioncamere</w:t>
      </w:r>
      <w:r w:rsidRPr="00FB596D">
        <w:t xml:space="preserve">, </w:t>
      </w:r>
      <w:r w:rsidRPr="00FB596D">
        <w:rPr>
          <w:b/>
        </w:rPr>
        <w:t>Giuseppe Tripoli</w:t>
      </w:r>
      <w:r w:rsidRPr="00FB596D">
        <w:t>. “Questo primato si deve a un rapporto molto fecondo nel nostro Paese tra cultura e attività di impresa: la cultura si fa impresa e l’impresa fa cultura. Basti pensare a quanto i settori del made in Italy, che sono leader nel mondo, traggano alimento dal nostro grande patrimonio culturale. Inoltre, proprio le imprese del sistema produttivo culturale e creativo hanno performance migliori rispetto alle altre in termini di occupazione e valore aggiunto. Questi risultati si devono anche all’adozione delle tecnologie 4.0, che riguarda circa il 70% delle industrie creative, quota più elevata rispetto agli altri settori."</w:t>
      </w:r>
    </w:p>
    <w:p w:rsidR="00E47068" w:rsidRDefault="00E47068" w:rsidP="00E47068">
      <w:pPr>
        <w:spacing w:after="0" w:line="240" w:lineRule="auto"/>
        <w:jc w:val="both"/>
        <w:rPr>
          <w:rFonts w:ascii="Times New Roman" w:hAnsi="Times New Roman" w:cs="Times New Roman"/>
          <w:sz w:val="24"/>
          <w:szCs w:val="24"/>
        </w:rPr>
      </w:pPr>
    </w:p>
    <w:p w:rsidR="00E47068" w:rsidRDefault="00E47068" w:rsidP="00E47068">
      <w:pPr>
        <w:pStyle w:val="NormaleWeb"/>
        <w:shd w:val="clear" w:color="auto" w:fill="FFFFFF"/>
        <w:spacing w:before="0" w:beforeAutospacing="0" w:after="0" w:afterAutospacing="0"/>
        <w:jc w:val="both"/>
        <w:rPr>
          <w:rStyle w:val="Enfasigrassetto"/>
        </w:rPr>
      </w:pPr>
      <w:r>
        <w:rPr>
          <w:rStyle w:val="Enfasigrassetto"/>
        </w:rPr>
        <w:t>Cosa si intende per Sistema Produttivo Culturale e Creativo</w:t>
      </w:r>
    </w:p>
    <w:p w:rsidR="00E47068" w:rsidRDefault="00E47068" w:rsidP="00E47068">
      <w:pPr>
        <w:pStyle w:val="NormaleWeb"/>
        <w:shd w:val="clear" w:color="auto" w:fill="FFFFFF"/>
        <w:spacing w:before="0" w:beforeAutospacing="0" w:after="0" w:afterAutospacing="0"/>
        <w:jc w:val="both"/>
      </w:pPr>
      <w:r>
        <w:t xml:space="preserve">Il rapporto analizza il Sistema Produttivo Culturale e Creativo, ovvero tutte quelle attività economiche che producono beni e servizi culturali, ma anche tutte quelle attività che non producono beni o servizi strettamente culturali, ma che utilizzano la cultura come input per accrescere il valore simbolico dei prodotti, quindi la loro competitività, che nello studio definiamo creative-driven. Il sistema produttivo culturale si articola in 5 macro settori: industrie creative (architettura, comunicazione, design), industrie culturali propriamente dette (cinema, editoria, videogiochi, </w:t>
      </w:r>
      <w:r>
        <w:lastRenderedPageBreak/>
        <w:t xml:space="preserve">software, musica e stampa), patrimonio storico-artistico (musei, biblioteche, archivi, siti archeologici e monumenti storici), performing arts e arti visive a cui si aggiungono le imprese </w:t>
      </w:r>
      <w:r>
        <w:rPr>
          <w:i/>
        </w:rPr>
        <w:t>creative-driven</w:t>
      </w:r>
      <w:r>
        <w:t xml:space="preserve"> (imprese non direttamente riconducibili al settore ma che impiegano in maniera strutturale professioni culturali e creative</w:t>
      </w:r>
      <w:r w:rsidR="005A151B">
        <w:t>)</w:t>
      </w:r>
      <w:r>
        <w:t xml:space="preserve">. Dal mobile alla nautica, larga parte della capacità del </w:t>
      </w:r>
      <w:r>
        <w:rPr>
          <w:i/>
        </w:rPr>
        <w:t>made in Italy</w:t>
      </w:r>
      <w:r>
        <w:t xml:space="preserve"> di competere nel mondo sarebbe impensabile senza il legame con il design, con le industrie culturali e creative.</w:t>
      </w:r>
    </w:p>
    <w:p w:rsidR="00E47068" w:rsidRDefault="00E47068" w:rsidP="00E47068">
      <w:pPr>
        <w:pStyle w:val="NormaleWeb"/>
        <w:shd w:val="clear" w:color="auto" w:fill="FFFFFF"/>
        <w:spacing w:before="0" w:beforeAutospacing="0" w:after="0" w:afterAutospacing="0"/>
        <w:jc w:val="both"/>
        <w:rPr>
          <w:rStyle w:val="Enfasigrassetto"/>
        </w:rPr>
      </w:pPr>
    </w:p>
    <w:p w:rsidR="00E47068" w:rsidRDefault="00E47068" w:rsidP="00E47068">
      <w:pPr>
        <w:pStyle w:val="NormaleWeb"/>
        <w:shd w:val="clear" w:color="auto" w:fill="FFFFFF"/>
        <w:spacing w:before="0" w:beforeAutospacing="0" w:after="0" w:afterAutospacing="0"/>
        <w:jc w:val="both"/>
        <w:rPr>
          <w:rStyle w:val="Enfasigrassetto"/>
        </w:rPr>
      </w:pPr>
    </w:p>
    <w:p w:rsidR="002B265F" w:rsidRDefault="002B265F" w:rsidP="00E47068">
      <w:pPr>
        <w:pStyle w:val="NormaleWeb"/>
        <w:shd w:val="clear" w:color="auto" w:fill="FFFFFF"/>
        <w:spacing w:before="0" w:beforeAutospacing="0" w:after="0" w:afterAutospacing="0"/>
        <w:jc w:val="both"/>
        <w:rPr>
          <w:rStyle w:val="Enfasigrassetto"/>
        </w:rPr>
      </w:pPr>
    </w:p>
    <w:p w:rsidR="002B265F" w:rsidRDefault="002B265F" w:rsidP="00E47068">
      <w:pPr>
        <w:pStyle w:val="NormaleWeb"/>
        <w:shd w:val="clear" w:color="auto" w:fill="FFFFFF"/>
        <w:spacing w:before="0" w:beforeAutospacing="0" w:after="0" w:afterAutospacing="0"/>
        <w:jc w:val="both"/>
        <w:rPr>
          <w:rStyle w:val="Enfasigrassetto"/>
        </w:rPr>
      </w:pPr>
    </w:p>
    <w:p w:rsidR="00E47068" w:rsidRDefault="00E47068" w:rsidP="00E47068">
      <w:pPr>
        <w:pStyle w:val="NormaleWeb"/>
        <w:shd w:val="clear" w:color="auto" w:fill="FFFFFF"/>
        <w:spacing w:before="0" w:beforeAutospacing="0" w:after="0" w:afterAutospacing="0"/>
        <w:jc w:val="both"/>
        <w:rPr>
          <w:rStyle w:val="Enfasigrassetto"/>
        </w:rPr>
      </w:pPr>
      <w:r>
        <w:rPr>
          <w:rStyle w:val="Enfasigrassetto"/>
        </w:rPr>
        <w:t>I settori, i trend</w:t>
      </w:r>
    </w:p>
    <w:p w:rsidR="00E47068" w:rsidRDefault="00E47068" w:rsidP="00E47068">
      <w:pPr>
        <w:pStyle w:val="NormaleWeb"/>
        <w:shd w:val="clear" w:color="auto" w:fill="FFFFFF"/>
        <w:spacing w:before="0" w:beforeAutospacing="0" w:after="0" w:afterAutospacing="0"/>
        <w:jc w:val="both"/>
      </w:pPr>
      <w:r>
        <w:t xml:space="preserve">Le industrie culturali producono, da sole, 35,1 miliardi di euro di valore aggiunto (il 2,2% del complessivo nazionale), dando lavoro a 500 mila persone (il 2,0% degli addetti totali). Contributo importante anche dalle industrie creative, capaci di produrre 13,8 miliardi di valore aggiunto, grazie all’impiego di quasi 267 mila addetti. Le Performing arts generano, invece, 8,2 miliardi di euro di ricchezza e 145 mila posti di lavoro; a conservazione e valorizzazione del patrimonio storico-artistico si devono 2,9 miliardi di euro di valore aggiunto e 51mila addetti. A questi quattro ambiti, che rappresentano il cuore delle attività culturali e creative, si aggiungono i rilevanti risultati delle attività </w:t>
      </w:r>
      <w:r>
        <w:rPr>
          <w:i/>
        </w:rPr>
        <w:t>creative-driven</w:t>
      </w:r>
      <w:r>
        <w:t>: 35,8 miliardi di euro di valore aggiunto (il 2,3% del complessivo nazionale) e più di 591 mila addetti (2,3% del totale nazionale).</w:t>
      </w:r>
    </w:p>
    <w:p w:rsidR="00E47068" w:rsidRDefault="00E47068" w:rsidP="00E47068">
      <w:pPr>
        <w:pStyle w:val="NormaleWeb"/>
        <w:shd w:val="clear" w:color="auto" w:fill="FFFFFF"/>
        <w:spacing w:before="0" w:beforeAutospacing="0" w:after="0" w:afterAutospacing="0"/>
        <w:jc w:val="both"/>
      </w:pPr>
      <w:r>
        <w:t xml:space="preserve">Approfondendo l’analisi è interessante individuare le varie componenti che contribuiscono alla produzione di ricchezza in ciascun settore culturale. Le </w:t>
      </w:r>
      <w:r>
        <w:rPr>
          <w:i/>
        </w:rPr>
        <w:t>performance</w:t>
      </w:r>
      <w:r>
        <w:t xml:space="preserve"> più rilevanti, all’interno delle industrie creative, appartengono al sottosettore del design (che produce 8,9 miliardi di euro di valore aggiunto insieme all’architettura; lo 0,6% del valore complessivo) e della comunicazione (4,9 miliardi di euro, lo 0,3%). Ad alimentare la ricchezza prodotta dalle industrie culturali, invece, vi sono il comparto dell’editoria e stampa (da cui deriva lo 0,9% del valore aggiunto nazionale, corrispondente a 13,7 miliardi di euro) e quello dei videogiochi e </w:t>
      </w:r>
      <w:r>
        <w:rPr>
          <w:i/>
        </w:rPr>
        <w:t>software</w:t>
      </w:r>
      <w:r>
        <w:t xml:space="preserve"> (0,9%, pari a 13,6 miliardi di euro).</w:t>
      </w:r>
    </w:p>
    <w:p w:rsidR="00E47068" w:rsidRDefault="00E47068" w:rsidP="00E47068">
      <w:pPr>
        <w:pStyle w:val="NormaleWeb"/>
        <w:shd w:val="clear" w:color="auto" w:fill="FFFFFF"/>
        <w:spacing w:before="0" w:beforeAutospacing="0" w:after="0" w:afterAutospacing="0"/>
        <w:jc w:val="both"/>
      </w:pPr>
      <w:r>
        <w:t>Nel suo complesso il Sistema Produttivo Culturale e Creativo ha prodotto un valore aggiunto e un’occupazione superiore rispetto all’anno precedente +2,9 e +1,5%.</w:t>
      </w: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A55FAF" w:rsidRDefault="00A55FAF" w:rsidP="00E47068">
      <w:pPr>
        <w:pStyle w:val="NormaleWeb"/>
        <w:shd w:val="clear" w:color="auto" w:fill="FFFFFF"/>
        <w:spacing w:before="0" w:beforeAutospacing="0" w:after="0" w:afterAutospacing="0"/>
        <w:jc w:val="both"/>
      </w:pPr>
    </w:p>
    <w:p w:rsidR="00E47068" w:rsidRDefault="00E47068" w:rsidP="00E47068">
      <w:pPr>
        <w:shd w:val="clear" w:color="auto" w:fill="FFFFFF" w:themeFill="background1"/>
        <w:spacing w:after="0"/>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Valore aggiunto e occupazione del Sistema Produttivo Culturale e Creativo italiano per settore</w:t>
      </w:r>
    </w:p>
    <w:p w:rsidR="00E47068" w:rsidRDefault="00E47068" w:rsidP="00E47068">
      <w:pPr>
        <w:shd w:val="clear" w:color="auto" w:fill="FFFFFF" w:themeFill="background1"/>
        <w:spacing w:after="0"/>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Anno 2018 (</w:t>
      </w:r>
      <w:r>
        <w:rPr>
          <w:rFonts w:ascii="Times New Roman" w:eastAsia="Times New Roman" w:hAnsi="Times New Roman" w:cs="Times New Roman"/>
          <w:b/>
          <w:bCs/>
          <w:i/>
          <w:sz w:val="24"/>
          <w:szCs w:val="24"/>
          <w:lang w:eastAsia="it-IT"/>
        </w:rPr>
        <w:t>valori assoluti, composizioni percentuali e quote percentuali sul totale economia</w:t>
      </w:r>
      <w:r>
        <w:rPr>
          <w:rFonts w:ascii="Times New Roman" w:eastAsia="Times New Roman" w:hAnsi="Times New Roman" w:cs="Times New Roman"/>
          <w:b/>
          <w:bCs/>
          <w:sz w:val="24"/>
          <w:szCs w:val="24"/>
          <w:lang w:eastAsia="it-IT"/>
        </w:rPr>
        <w:t>)</w:t>
      </w:r>
    </w:p>
    <w:tbl>
      <w:tblPr>
        <w:tblW w:w="5017" w:type="pct"/>
        <w:tblCellMar>
          <w:left w:w="70" w:type="dxa"/>
          <w:right w:w="70" w:type="dxa"/>
        </w:tblCellMar>
        <w:tblLook w:val="04A0"/>
      </w:tblPr>
      <w:tblGrid>
        <w:gridCol w:w="4067"/>
        <w:gridCol w:w="1079"/>
        <w:gridCol w:w="758"/>
        <w:gridCol w:w="1073"/>
        <w:gridCol w:w="1007"/>
        <w:gridCol w:w="754"/>
        <w:gridCol w:w="1073"/>
      </w:tblGrid>
      <w:tr w:rsidR="00E47068" w:rsidTr="00E47068">
        <w:trPr>
          <w:trHeight w:val="313"/>
        </w:trPr>
        <w:tc>
          <w:tcPr>
            <w:tcW w:w="1661" w:type="pct"/>
            <w:tcBorders>
              <w:top w:val="single" w:sz="4" w:space="0" w:color="auto"/>
              <w:left w:val="nil"/>
              <w:bottom w:val="nil"/>
              <w:right w:val="nil"/>
            </w:tcBorders>
            <w:shd w:val="clear" w:color="auto" w:fill="F2F2F2"/>
            <w:vAlign w:val="center"/>
          </w:tcPr>
          <w:p w:rsidR="00E47068" w:rsidRDefault="00E47068">
            <w:pPr>
              <w:spacing w:after="0" w:line="240" w:lineRule="auto"/>
              <w:rPr>
                <w:rFonts w:ascii="Times New Roman" w:eastAsia="Times New Roman" w:hAnsi="Times New Roman" w:cs="Times New Roman"/>
                <w:sz w:val="24"/>
                <w:szCs w:val="24"/>
                <w:lang w:eastAsia="it-IT"/>
              </w:rPr>
            </w:pPr>
          </w:p>
        </w:tc>
        <w:tc>
          <w:tcPr>
            <w:tcW w:w="1670" w:type="pct"/>
            <w:gridSpan w:val="3"/>
            <w:tcBorders>
              <w:top w:val="single" w:sz="4" w:space="0" w:color="auto"/>
              <w:left w:val="nil"/>
              <w:bottom w:val="nil"/>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Valore aggiunto</w:t>
            </w:r>
          </w:p>
        </w:tc>
        <w:tc>
          <w:tcPr>
            <w:tcW w:w="1668" w:type="pct"/>
            <w:gridSpan w:val="3"/>
            <w:tcBorders>
              <w:top w:val="single" w:sz="4" w:space="0" w:color="auto"/>
              <w:left w:val="nil"/>
              <w:bottom w:val="nil"/>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Occupazione</w:t>
            </w:r>
          </w:p>
        </w:tc>
      </w:tr>
      <w:tr w:rsidR="00E47068" w:rsidTr="00E47068">
        <w:trPr>
          <w:trHeight w:val="517"/>
        </w:trPr>
        <w:tc>
          <w:tcPr>
            <w:tcW w:w="1661" w:type="pct"/>
            <w:tcBorders>
              <w:top w:val="nil"/>
              <w:left w:val="nil"/>
              <w:bottom w:val="single" w:sz="4" w:space="0" w:color="auto"/>
              <w:right w:val="nil"/>
            </w:tcBorders>
            <w:shd w:val="clear" w:color="auto" w:fill="F2F2F2"/>
            <w:vAlign w:val="center"/>
            <w:hideMark/>
          </w:tcPr>
          <w:p w:rsidR="00E47068" w:rsidRDefault="00E47068">
            <w:pPr>
              <w:rPr>
                <w:rFonts w:ascii="Times New Roman" w:eastAsia="Times New Roman" w:hAnsi="Times New Roman" w:cs="Times New Roman"/>
                <w:sz w:val="24"/>
                <w:szCs w:val="24"/>
                <w:lang w:eastAsia="it-IT"/>
              </w:rPr>
            </w:pPr>
          </w:p>
        </w:tc>
        <w:tc>
          <w:tcPr>
            <w:tcW w:w="639" w:type="pct"/>
            <w:tcBorders>
              <w:top w:val="nil"/>
              <w:left w:val="nil"/>
              <w:bottom w:val="single" w:sz="4" w:space="0" w:color="auto"/>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Valori assoluti (milioni di euro)</w:t>
            </w:r>
          </w:p>
        </w:tc>
        <w:tc>
          <w:tcPr>
            <w:tcW w:w="475" w:type="pct"/>
            <w:tcBorders>
              <w:top w:val="nil"/>
              <w:left w:val="nil"/>
              <w:bottom w:val="single" w:sz="4" w:space="0" w:color="auto"/>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 sul totale SPCC</w:t>
            </w:r>
          </w:p>
        </w:tc>
        <w:tc>
          <w:tcPr>
            <w:tcW w:w="556" w:type="pct"/>
            <w:tcBorders>
              <w:top w:val="nil"/>
              <w:left w:val="nil"/>
              <w:bottom w:val="single" w:sz="4" w:space="0" w:color="auto"/>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 sul totale economia</w:t>
            </w:r>
          </w:p>
        </w:tc>
        <w:tc>
          <w:tcPr>
            <w:tcW w:w="640" w:type="pct"/>
            <w:tcBorders>
              <w:top w:val="nil"/>
              <w:left w:val="nil"/>
              <w:bottom w:val="single" w:sz="4" w:space="0" w:color="auto"/>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Valori assoluti (in migliaia)</w:t>
            </w:r>
          </w:p>
        </w:tc>
        <w:tc>
          <w:tcPr>
            <w:tcW w:w="473" w:type="pct"/>
            <w:tcBorders>
              <w:top w:val="nil"/>
              <w:left w:val="nil"/>
              <w:bottom w:val="single" w:sz="4" w:space="0" w:color="auto"/>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 sul totale SPCC</w:t>
            </w:r>
          </w:p>
        </w:tc>
        <w:tc>
          <w:tcPr>
            <w:tcW w:w="555" w:type="pct"/>
            <w:tcBorders>
              <w:top w:val="nil"/>
              <w:left w:val="nil"/>
              <w:bottom w:val="single" w:sz="4" w:space="0" w:color="auto"/>
              <w:right w:val="nil"/>
            </w:tcBorders>
            <w:shd w:val="clear" w:color="auto" w:fill="F2F2F2"/>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 sul totale economia</w:t>
            </w:r>
          </w:p>
        </w:tc>
      </w:tr>
      <w:tr w:rsidR="00E47068" w:rsidTr="00E47068">
        <w:trPr>
          <w:trHeight w:hRule="exact" w:val="318"/>
        </w:trPr>
        <w:tc>
          <w:tcPr>
            <w:tcW w:w="1661" w:type="pct"/>
            <w:tcBorders>
              <w:top w:val="single" w:sz="4" w:space="0" w:color="auto"/>
              <w:left w:val="nil"/>
              <w:bottom w:val="nil"/>
              <w:right w:val="nil"/>
            </w:tcBorders>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INDUSTRIE CREATIVE</w:t>
            </w:r>
          </w:p>
        </w:tc>
        <w:tc>
          <w:tcPr>
            <w:tcW w:w="639" w:type="pct"/>
            <w:tcBorders>
              <w:top w:val="single" w:sz="4" w:space="0" w:color="auto"/>
              <w:left w:val="nil"/>
              <w:bottom w:val="nil"/>
              <w:right w:val="nil"/>
            </w:tcBorders>
            <w:noWrap/>
            <w:vAlign w:val="center"/>
            <w:hideMark/>
          </w:tcPr>
          <w:p w:rsidR="00E47068" w:rsidRDefault="00E47068">
            <w:pPr>
              <w:spacing w:after="0" w:line="240" w:lineRule="auto"/>
              <w:jc w:val="right"/>
              <w:rPr>
                <w:rFonts w:ascii="Times New Roman" w:hAnsi="Times New Roman" w:cs="Times New Roman"/>
                <w:sz w:val="24"/>
                <w:szCs w:val="24"/>
                <w:lang w:eastAsia="it-IT"/>
              </w:rPr>
            </w:pPr>
            <w:r>
              <w:rPr>
                <w:rFonts w:ascii="Times New Roman" w:hAnsi="Times New Roman" w:cs="Times New Roman"/>
                <w:sz w:val="24"/>
                <w:szCs w:val="24"/>
              </w:rPr>
              <w:t>13.783,8</w:t>
            </w:r>
          </w:p>
        </w:tc>
        <w:tc>
          <w:tcPr>
            <w:tcW w:w="475" w:type="pct"/>
            <w:tcBorders>
              <w:top w:val="single" w:sz="4" w:space="0" w:color="auto"/>
              <w:left w:val="nil"/>
              <w:bottom w:val="nil"/>
              <w:right w:val="nil"/>
            </w:tcBorders>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14,4</w:t>
            </w:r>
          </w:p>
        </w:tc>
        <w:tc>
          <w:tcPr>
            <w:tcW w:w="556" w:type="pct"/>
            <w:tcBorders>
              <w:top w:val="single" w:sz="4" w:space="0" w:color="auto"/>
              <w:left w:val="nil"/>
              <w:bottom w:val="nil"/>
              <w:right w:val="nil"/>
            </w:tcBorders>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0,9</w:t>
            </w:r>
          </w:p>
        </w:tc>
        <w:tc>
          <w:tcPr>
            <w:tcW w:w="640" w:type="pct"/>
            <w:tcBorders>
              <w:top w:val="single" w:sz="4" w:space="0" w:color="auto"/>
              <w:left w:val="nil"/>
              <w:bottom w:val="nil"/>
              <w:right w:val="nil"/>
            </w:tcBorders>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266,6</w:t>
            </w:r>
          </w:p>
        </w:tc>
        <w:tc>
          <w:tcPr>
            <w:tcW w:w="473" w:type="pct"/>
            <w:tcBorders>
              <w:top w:val="single" w:sz="4" w:space="0" w:color="auto"/>
              <w:left w:val="nil"/>
              <w:bottom w:val="nil"/>
              <w:right w:val="nil"/>
            </w:tcBorders>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17,2</w:t>
            </w:r>
          </w:p>
        </w:tc>
        <w:tc>
          <w:tcPr>
            <w:tcW w:w="555" w:type="pct"/>
            <w:tcBorders>
              <w:top w:val="single" w:sz="4" w:space="0" w:color="auto"/>
              <w:left w:val="nil"/>
              <w:bottom w:val="nil"/>
              <w:right w:val="nil"/>
            </w:tcBorders>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1,1</w:t>
            </w:r>
          </w:p>
        </w:tc>
      </w:tr>
      <w:tr w:rsidR="00E47068" w:rsidTr="00E47068">
        <w:trPr>
          <w:trHeight w:hRule="exact" w:val="238"/>
        </w:trPr>
        <w:tc>
          <w:tcPr>
            <w:tcW w:w="1661" w:type="pct"/>
            <w:noWrap/>
            <w:hideMark/>
          </w:tcPr>
          <w:p w:rsidR="00E47068" w:rsidRDefault="00E4706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Architettura e design</w:t>
            </w:r>
          </w:p>
        </w:tc>
        <w:tc>
          <w:tcPr>
            <w:tcW w:w="639"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8.861,1</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9,3</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0,6</w:t>
            </w:r>
          </w:p>
        </w:tc>
        <w:tc>
          <w:tcPr>
            <w:tcW w:w="640"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157,1</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10,1</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0,6</w:t>
            </w:r>
          </w:p>
        </w:tc>
      </w:tr>
      <w:tr w:rsidR="00E47068" w:rsidTr="00E47068">
        <w:trPr>
          <w:trHeight w:hRule="exact" w:val="238"/>
        </w:trPr>
        <w:tc>
          <w:tcPr>
            <w:tcW w:w="1661" w:type="pct"/>
            <w:noWrap/>
            <w:hideMark/>
          </w:tcPr>
          <w:p w:rsidR="00E47068" w:rsidRDefault="00E4706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Comunicazione</w:t>
            </w:r>
          </w:p>
        </w:tc>
        <w:tc>
          <w:tcPr>
            <w:tcW w:w="639"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4.922,8</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5,1</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0,3</w:t>
            </w:r>
          </w:p>
        </w:tc>
        <w:tc>
          <w:tcPr>
            <w:tcW w:w="640"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109,6</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7,1</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0,4</w:t>
            </w:r>
          </w:p>
        </w:tc>
      </w:tr>
      <w:tr w:rsidR="00E47068" w:rsidTr="00E47068">
        <w:trPr>
          <w:trHeight w:hRule="exact" w:val="318"/>
        </w:trPr>
        <w:tc>
          <w:tcPr>
            <w:tcW w:w="1661" w:type="pct"/>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INDUSTRIE CULTURALI</w:t>
            </w:r>
          </w:p>
        </w:tc>
        <w:tc>
          <w:tcPr>
            <w:tcW w:w="639" w:type="pct"/>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35.111,8</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36,7</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2,2</w:t>
            </w:r>
          </w:p>
        </w:tc>
        <w:tc>
          <w:tcPr>
            <w:tcW w:w="640" w:type="pct"/>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497,4</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32,1</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2,0</w:t>
            </w:r>
          </w:p>
        </w:tc>
      </w:tr>
      <w:tr w:rsidR="00E47068" w:rsidTr="00E47068">
        <w:trPr>
          <w:trHeight w:hRule="exact" w:val="238"/>
        </w:trPr>
        <w:tc>
          <w:tcPr>
            <w:tcW w:w="1661" w:type="pct"/>
            <w:noWrap/>
            <w:vAlign w:val="center"/>
            <w:hideMark/>
          </w:tcPr>
          <w:p w:rsidR="00E47068" w:rsidRDefault="00E4706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Cinema, radio, tv</w:t>
            </w:r>
          </w:p>
        </w:tc>
        <w:tc>
          <w:tcPr>
            <w:tcW w:w="639"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7.452,1</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7,8</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0,5</w:t>
            </w:r>
          </w:p>
        </w:tc>
        <w:tc>
          <w:tcPr>
            <w:tcW w:w="640"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56,5</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3,6</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0,2</w:t>
            </w:r>
          </w:p>
        </w:tc>
      </w:tr>
      <w:tr w:rsidR="00E47068" w:rsidTr="00E47068">
        <w:trPr>
          <w:trHeight w:hRule="exact" w:val="238"/>
        </w:trPr>
        <w:tc>
          <w:tcPr>
            <w:tcW w:w="1661" w:type="pct"/>
            <w:noWrap/>
            <w:vAlign w:val="center"/>
            <w:hideMark/>
          </w:tcPr>
          <w:p w:rsidR="00E47068" w:rsidRDefault="00E4706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Videogiochi e software</w:t>
            </w:r>
          </w:p>
        </w:tc>
        <w:tc>
          <w:tcPr>
            <w:tcW w:w="639"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13.600,1</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14,2</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0,9</w:t>
            </w:r>
          </w:p>
        </w:tc>
        <w:tc>
          <w:tcPr>
            <w:tcW w:w="640"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177,6</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11,4</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0,7</w:t>
            </w:r>
          </w:p>
        </w:tc>
      </w:tr>
      <w:tr w:rsidR="00E47068" w:rsidTr="00E47068">
        <w:trPr>
          <w:trHeight w:hRule="exact" w:val="238"/>
        </w:trPr>
        <w:tc>
          <w:tcPr>
            <w:tcW w:w="1661" w:type="pct"/>
            <w:noWrap/>
            <w:vAlign w:val="center"/>
            <w:hideMark/>
          </w:tcPr>
          <w:p w:rsidR="00E47068" w:rsidRDefault="00E4706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Musica</w:t>
            </w:r>
          </w:p>
        </w:tc>
        <w:tc>
          <w:tcPr>
            <w:tcW w:w="639"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319,2</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0,3</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0,0</w:t>
            </w:r>
          </w:p>
        </w:tc>
        <w:tc>
          <w:tcPr>
            <w:tcW w:w="640"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5,9</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0,4</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0,0</w:t>
            </w:r>
          </w:p>
        </w:tc>
      </w:tr>
      <w:tr w:rsidR="00E47068" w:rsidTr="00E47068">
        <w:trPr>
          <w:trHeight w:hRule="exact" w:val="238"/>
        </w:trPr>
        <w:tc>
          <w:tcPr>
            <w:tcW w:w="1661" w:type="pct"/>
            <w:noWrap/>
            <w:vAlign w:val="center"/>
            <w:hideMark/>
          </w:tcPr>
          <w:p w:rsidR="00E47068" w:rsidRDefault="00E4706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Editoria e stampa</w:t>
            </w:r>
          </w:p>
        </w:tc>
        <w:tc>
          <w:tcPr>
            <w:tcW w:w="639"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13.740,3</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14,3</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0,9</w:t>
            </w:r>
          </w:p>
        </w:tc>
        <w:tc>
          <w:tcPr>
            <w:tcW w:w="640" w:type="pct"/>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257,3</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16,6</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1,0</w:t>
            </w:r>
          </w:p>
        </w:tc>
      </w:tr>
      <w:tr w:rsidR="00E47068" w:rsidTr="00E47068">
        <w:trPr>
          <w:trHeight w:hRule="exact" w:val="318"/>
        </w:trPr>
        <w:tc>
          <w:tcPr>
            <w:tcW w:w="1661" w:type="pct"/>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PERFORMING ARTS</w:t>
            </w:r>
            <w:r>
              <w:rPr>
                <w:rStyle w:val="Rimandonotaapidipagina"/>
                <w:rFonts w:ascii="Times New Roman" w:eastAsia="Times New Roman" w:hAnsi="Times New Roman" w:cs="Times New Roman"/>
                <w:sz w:val="24"/>
                <w:szCs w:val="24"/>
                <w:lang w:eastAsia="it-IT"/>
              </w:rPr>
              <w:footnoteReference w:id="1"/>
            </w:r>
          </w:p>
        </w:tc>
        <w:tc>
          <w:tcPr>
            <w:tcW w:w="639" w:type="pct"/>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8.210,7</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8,6</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0,5</w:t>
            </w:r>
          </w:p>
        </w:tc>
        <w:tc>
          <w:tcPr>
            <w:tcW w:w="640" w:type="pct"/>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144,8</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9,3</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0,6</w:t>
            </w:r>
          </w:p>
        </w:tc>
      </w:tr>
      <w:tr w:rsidR="00E47068" w:rsidTr="00E47068">
        <w:trPr>
          <w:trHeight w:hRule="exact" w:val="318"/>
        </w:trPr>
        <w:tc>
          <w:tcPr>
            <w:tcW w:w="1661" w:type="pct"/>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PATRIMONIO STORICO-ARTISTICO</w:t>
            </w:r>
          </w:p>
        </w:tc>
        <w:tc>
          <w:tcPr>
            <w:tcW w:w="639" w:type="pct"/>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2.858,1</w:t>
            </w:r>
          </w:p>
        </w:tc>
        <w:tc>
          <w:tcPr>
            <w:tcW w:w="475"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3,0</w:t>
            </w:r>
          </w:p>
        </w:tc>
        <w:tc>
          <w:tcPr>
            <w:tcW w:w="556"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0,2</w:t>
            </w:r>
          </w:p>
        </w:tc>
        <w:tc>
          <w:tcPr>
            <w:tcW w:w="640" w:type="pct"/>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51,0</w:t>
            </w:r>
          </w:p>
        </w:tc>
        <w:tc>
          <w:tcPr>
            <w:tcW w:w="473" w:type="pct"/>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3,3</w:t>
            </w:r>
          </w:p>
        </w:tc>
        <w:tc>
          <w:tcPr>
            <w:tcW w:w="555" w:type="pct"/>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0,2</w:t>
            </w:r>
          </w:p>
        </w:tc>
      </w:tr>
      <w:tr w:rsidR="00E47068" w:rsidTr="00E47068">
        <w:trPr>
          <w:trHeight w:hRule="exact" w:val="318"/>
        </w:trPr>
        <w:tc>
          <w:tcPr>
            <w:tcW w:w="1661" w:type="pct"/>
            <w:tcBorders>
              <w:top w:val="single" w:sz="4" w:space="0" w:color="auto"/>
              <w:left w:val="nil"/>
              <w:bottom w:val="nil"/>
              <w:right w:val="nil"/>
            </w:tcBorders>
            <w:shd w:val="clear" w:color="auto" w:fill="F2F2F2"/>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CORE CULTURA</w:t>
            </w:r>
          </w:p>
        </w:tc>
        <w:tc>
          <w:tcPr>
            <w:tcW w:w="639" w:type="pct"/>
            <w:tcBorders>
              <w:top w:val="single" w:sz="4" w:space="0" w:color="auto"/>
              <w:left w:val="nil"/>
              <w:bottom w:val="nil"/>
              <w:right w:val="nil"/>
            </w:tcBorders>
            <w:shd w:val="clear" w:color="auto" w:fill="F2F2F2"/>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59.964,4</w:t>
            </w:r>
          </w:p>
        </w:tc>
        <w:tc>
          <w:tcPr>
            <w:tcW w:w="475" w:type="pct"/>
            <w:tcBorders>
              <w:top w:val="single" w:sz="4" w:space="0" w:color="auto"/>
              <w:left w:val="nil"/>
              <w:bottom w:val="nil"/>
              <w:right w:val="nil"/>
            </w:tcBorders>
            <w:shd w:val="clear" w:color="auto" w:fill="F2F2F2"/>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62,6</w:t>
            </w:r>
          </w:p>
        </w:tc>
        <w:tc>
          <w:tcPr>
            <w:tcW w:w="556" w:type="pct"/>
            <w:tcBorders>
              <w:top w:val="single" w:sz="4" w:space="0" w:color="auto"/>
              <w:left w:val="nil"/>
              <w:bottom w:val="nil"/>
              <w:right w:val="nil"/>
            </w:tcBorders>
            <w:shd w:val="clear" w:color="auto" w:fill="F2F2F2"/>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3,8</w:t>
            </w:r>
          </w:p>
        </w:tc>
        <w:tc>
          <w:tcPr>
            <w:tcW w:w="640" w:type="pct"/>
            <w:tcBorders>
              <w:top w:val="single" w:sz="4" w:space="0" w:color="auto"/>
              <w:left w:val="nil"/>
              <w:bottom w:val="nil"/>
              <w:right w:val="nil"/>
            </w:tcBorders>
            <w:shd w:val="clear" w:color="auto" w:fill="F2F2F2"/>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959,8</w:t>
            </w:r>
          </w:p>
        </w:tc>
        <w:tc>
          <w:tcPr>
            <w:tcW w:w="473" w:type="pct"/>
            <w:tcBorders>
              <w:top w:val="single" w:sz="4" w:space="0" w:color="auto"/>
              <w:left w:val="nil"/>
              <w:bottom w:val="nil"/>
              <w:right w:val="nil"/>
            </w:tcBorders>
            <w:shd w:val="clear" w:color="auto" w:fill="F2F2F2"/>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61,9</w:t>
            </w:r>
          </w:p>
        </w:tc>
        <w:tc>
          <w:tcPr>
            <w:tcW w:w="555" w:type="pct"/>
            <w:tcBorders>
              <w:top w:val="single" w:sz="4" w:space="0" w:color="auto"/>
              <w:left w:val="nil"/>
              <w:bottom w:val="nil"/>
              <w:right w:val="nil"/>
            </w:tcBorders>
            <w:shd w:val="clear" w:color="auto" w:fill="F2F2F2"/>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3,8</w:t>
            </w:r>
          </w:p>
        </w:tc>
      </w:tr>
      <w:tr w:rsidR="00E47068" w:rsidTr="00E47068">
        <w:trPr>
          <w:trHeight w:hRule="exact" w:val="318"/>
        </w:trPr>
        <w:tc>
          <w:tcPr>
            <w:tcW w:w="1661" w:type="pct"/>
            <w:tcBorders>
              <w:top w:val="nil"/>
              <w:left w:val="nil"/>
              <w:bottom w:val="single" w:sz="4" w:space="0" w:color="auto"/>
              <w:right w:val="nil"/>
            </w:tcBorders>
            <w:shd w:val="clear" w:color="auto" w:fill="F2F2F2"/>
            <w:noWrap/>
            <w:vAlign w:val="center"/>
            <w:hideMark/>
          </w:tcPr>
          <w:p w:rsidR="00E47068" w:rsidRDefault="00E47068">
            <w:pPr>
              <w:spacing w:after="0" w:line="240" w:lineRule="auto"/>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CREATIVE DRIVEN</w:t>
            </w:r>
          </w:p>
        </w:tc>
        <w:tc>
          <w:tcPr>
            <w:tcW w:w="639" w:type="pct"/>
            <w:tcBorders>
              <w:top w:val="nil"/>
              <w:left w:val="nil"/>
              <w:bottom w:val="single" w:sz="4" w:space="0" w:color="auto"/>
              <w:right w:val="nil"/>
            </w:tcBorders>
            <w:shd w:val="clear" w:color="auto" w:fill="F2F2F2"/>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35.794,3</w:t>
            </w:r>
          </w:p>
        </w:tc>
        <w:tc>
          <w:tcPr>
            <w:tcW w:w="475" w:type="pct"/>
            <w:tcBorders>
              <w:top w:val="nil"/>
              <w:left w:val="nil"/>
              <w:bottom w:val="single" w:sz="4" w:space="0" w:color="auto"/>
              <w:right w:val="nil"/>
            </w:tcBorders>
            <w:shd w:val="clear" w:color="auto" w:fill="F2F2F2"/>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37,4</w:t>
            </w:r>
          </w:p>
        </w:tc>
        <w:tc>
          <w:tcPr>
            <w:tcW w:w="556" w:type="pct"/>
            <w:tcBorders>
              <w:top w:val="nil"/>
              <w:left w:val="nil"/>
              <w:bottom w:val="single" w:sz="4" w:space="0" w:color="auto"/>
              <w:right w:val="nil"/>
            </w:tcBorders>
            <w:shd w:val="clear" w:color="auto" w:fill="F2F2F2"/>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2,3</w:t>
            </w:r>
          </w:p>
        </w:tc>
        <w:tc>
          <w:tcPr>
            <w:tcW w:w="640" w:type="pct"/>
            <w:tcBorders>
              <w:top w:val="nil"/>
              <w:left w:val="nil"/>
              <w:bottom w:val="single" w:sz="4" w:space="0" w:color="auto"/>
              <w:right w:val="nil"/>
            </w:tcBorders>
            <w:shd w:val="clear" w:color="auto" w:fill="F2F2F2"/>
            <w:noWrap/>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591,4</w:t>
            </w:r>
          </w:p>
        </w:tc>
        <w:tc>
          <w:tcPr>
            <w:tcW w:w="473" w:type="pct"/>
            <w:tcBorders>
              <w:top w:val="nil"/>
              <w:left w:val="nil"/>
              <w:bottom w:val="single" w:sz="4" w:space="0" w:color="auto"/>
              <w:right w:val="nil"/>
            </w:tcBorders>
            <w:shd w:val="clear" w:color="auto" w:fill="F2F2F2"/>
            <w:noWrap/>
            <w:tcMar>
              <w:top w:w="0" w:type="dxa"/>
              <w:left w:w="70" w:type="dxa"/>
              <w:bottom w:w="0" w:type="dxa"/>
              <w:right w:w="142"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38,1</w:t>
            </w:r>
          </w:p>
        </w:tc>
        <w:tc>
          <w:tcPr>
            <w:tcW w:w="555" w:type="pct"/>
            <w:tcBorders>
              <w:top w:val="nil"/>
              <w:left w:val="nil"/>
              <w:bottom w:val="single" w:sz="4" w:space="0" w:color="auto"/>
              <w:right w:val="nil"/>
            </w:tcBorders>
            <w:shd w:val="clear" w:color="auto" w:fill="F2F2F2"/>
            <w:noWrap/>
            <w:tcMar>
              <w:top w:w="0" w:type="dxa"/>
              <w:left w:w="70" w:type="dxa"/>
              <w:bottom w:w="0" w:type="dxa"/>
              <w:right w:w="425" w:type="dxa"/>
            </w:tcMar>
            <w:vAlign w:val="center"/>
            <w:hideMark/>
          </w:tcPr>
          <w:p w:rsidR="00E47068" w:rsidRDefault="00E47068">
            <w:pPr>
              <w:jc w:val="right"/>
              <w:rPr>
                <w:rFonts w:ascii="Times New Roman" w:hAnsi="Times New Roman" w:cs="Times New Roman"/>
                <w:i/>
                <w:iCs/>
                <w:sz w:val="24"/>
                <w:szCs w:val="24"/>
              </w:rPr>
            </w:pPr>
            <w:r>
              <w:rPr>
                <w:rFonts w:ascii="Times New Roman" w:hAnsi="Times New Roman" w:cs="Times New Roman"/>
                <w:i/>
                <w:iCs/>
                <w:sz w:val="24"/>
                <w:szCs w:val="24"/>
              </w:rPr>
              <w:t>2,3</w:t>
            </w:r>
          </w:p>
        </w:tc>
      </w:tr>
      <w:tr w:rsidR="00E47068" w:rsidTr="00E47068">
        <w:trPr>
          <w:trHeight w:hRule="exact" w:val="318"/>
        </w:trPr>
        <w:tc>
          <w:tcPr>
            <w:tcW w:w="1661" w:type="pct"/>
            <w:tcBorders>
              <w:top w:val="single" w:sz="4" w:space="0" w:color="auto"/>
              <w:left w:val="nil"/>
              <w:bottom w:val="single" w:sz="4" w:space="0" w:color="auto"/>
              <w:right w:val="nil"/>
            </w:tcBorders>
            <w:shd w:val="clear" w:color="auto" w:fill="D9D9D9"/>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TOTALE SPCC</w:t>
            </w:r>
          </w:p>
        </w:tc>
        <w:tc>
          <w:tcPr>
            <w:tcW w:w="639" w:type="pct"/>
            <w:tcBorders>
              <w:top w:val="single" w:sz="4" w:space="0" w:color="auto"/>
              <w:left w:val="nil"/>
              <w:bottom w:val="single" w:sz="4" w:space="0" w:color="auto"/>
              <w:right w:val="nil"/>
            </w:tcBorders>
            <w:shd w:val="clear" w:color="auto" w:fill="D9D9D9"/>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95.758,6</w:t>
            </w:r>
          </w:p>
        </w:tc>
        <w:tc>
          <w:tcPr>
            <w:tcW w:w="475" w:type="pct"/>
            <w:tcBorders>
              <w:top w:val="single" w:sz="4" w:space="0" w:color="auto"/>
              <w:left w:val="nil"/>
              <w:bottom w:val="single" w:sz="4" w:space="0" w:color="auto"/>
              <w:right w:val="nil"/>
            </w:tcBorders>
            <w:shd w:val="clear" w:color="auto" w:fill="D9D9D9"/>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100,0</w:t>
            </w:r>
          </w:p>
        </w:tc>
        <w:tc>
          <w:tcPr>
            <w:tcW w:w="556" w:type="pct"/>
            <w:tcBorders>
              <w:top w:val="single" w:sz="4" w:space="0" w:color="auto"/>
              <w:left w:val="nil"/>
              <w:bottom w:val="single" w:sz="4" w:space="0" w:color="auto"/>
              <w:right w:val="nil"/>
            </w:tcBorders>
            <w:shd w:val="clear" w:color="auto" w:fill="D9D9D9"/>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6,1</w:t>
            </w:r>
          </w:p>
        </w:tc>
        <w:tc>
          <w:tcPr>
            <w:tcW w:w="640" w:type="pct"/>
            <w:tcBorders>
              <w:top w:val="single" w:sz="4" w:space="0" w:color="auto"/>
              <w:left w:val="nil"/>
              <w:bottom w:val="single" w:sz="4" w:space="0" w:color="auto"/>
              <w:right w:val="nil"/>
            </w:tcBorders>
            <w:shd w:val="clear" w:color="auto" w:fill="D9D9D9"/>
            <w:noWrap/>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1.551,2</w:t>
            </w:r>
          </w:p>
        </w:tc>
        <w:tc>
          <w:tcPr>
            <w:tcW w:w="473" w:type="pct"/>
            <w:tcBorders>
              <w:top w:val="single" w:sz="4" w:space="0" w:color="auto"/>
              <w:left w:val="nil"/>
              <w:bottom w:val="single" w:sz="4" w:space="0" w:color="auto"/>
              <w:right w:val="nil"/>
            </w:tcBorders>
            <w:shd w:val="clear" w:color="auto" w:fill="D9D9D9"/>
            <w:noWrap/>
            <w:tcMar>
              <w:top w:w="0" w:type="dxa"/>
              <w:left w:w="70" w:type="dxa"/>
              <w:bottom w:w="0" w:type="dxa"/>
              <w:right w:w="142"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100,0</w:t>
            </w:r>
          </w:p>
        </w:tc>
        <w:tc>
          <w:tcPr>
            <w:tcW w:w="555" w:type="pct"/>
            <w:tcBorders>
              <w:top w:val="single" w:sz="4" w:space="0" w:color="auto"/>
              <w:left w:val="nil"/>
              <w:bottom w:val="single" w:sz="4" w:space="0" w:color="auto"/>
              <w:right w:val="nil"/>
            </w:tcBorders>
            <w:shd w:val="clear" w:color="auto" w:fill="D9D9D9"/>
            <w:noWrap/>
            <w:tcMar>
              <w:top w:w="0" w:type="dxa"/>
              <w:left w:w="70" w:type="dxa"/>
              <w:bottom w:w="0" w:type="dxa"/>
              <w:right w:w="425" w:type="dxa"/>
            </w:tcMar>
            <w:vAlign w:val="cente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6,1</w:t>
            </w:r>
          </w:p>
        </w:tc>
      </w:tr>
    </w:tbl>
    <w:p w:rsidR="00E47068" w:rsidRDefault="00E47068" w:rsidP="00E47068">
      <w:pPr>
        <w:spacing w:after="48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Fonte: Unioncamere, Fondazione Symbola, 2019</w:t>
      </w:r>
    </w:p>
    <w:p w:rsidR="00E47068" w:rsidRDefault="00E47068" w:rsidP="00E47068">
      <w:pPr>
        <w:pStyle w:val="NormaleWeb"/>
        <w:shd w:val="clear" w:color="auto" w:fill="FFFFFF"/>
        <w:spacing w:before="0" w:beforeAutospacing="0" w:after="0" w:afterAutospacing="0"/>
        <w:jc w:val="both"/>
        <w:rPr>
          <w:rStyle w:val="Enfasigrassetto"/>
        </w:rPr>
      </w:pPr>
      <w:r>
        <w:rPr>
          <w:rStyle w:val="Enfasigrassetto"/>
        </w:rPr>
        <w:t>Le imprese</w:t>
      </w:r>
    </w:p>
    <w:p w:rsidR="00E47068" w:rsidRDefault="00E47068" w:rsidP="00E47068">
      <w:pPr>
        <w:pStyle w:val="NormaleWeb"/>
        <w:shd w:val="clear" w:color="auto" w:fill="FFFFFF"/>
        <w:spacing w:before="0" w:beforeAutospacing="0" w:after="0" w:afterAutospacing="0"/>
        <w:jc w:val="both"/>
      </w:pPr>
      <w:r>
        <w:t xml:space="preserve">Il Sistema Produttivo Culturale e Creativo italiano conta, a fine 2018, 416.080 imprese, che incidono per il 6,8 % sul totale delle attività economiche del Paese. </w:t>
      </w:r>
    </w:p>
    <w:p w:rsidR="00E47068" w:rsidRDefault="00E47068" w:rsidP="00E47068">
      <w:pPr>
        <w:pStyle w:val="NormaleWeb"/>
        <w:shd w:val="clear" w:color="auto" w:fill="FFFFFF"/>
        <w:spacing w:before="0" w:beforeAutospacing="0" w:after="0" w:afterAutospacing="0"/>
        <w:jc w:val="both"/>
      </w:pPr>
      <w:r>
        <w:t xml:space="preserve">In particolare, le imprese che operano nei settori del </w:t>
      </w:r>
      <w:r>
        <w:rPr>
          <w:i/>
        </w:rPr>
        <w:t>Core</w:t>
      </w:r>
      <w:r>
        <w:t xml:space="preserve"> Cultura, direttamente collegate alle attività culturali e creative, sono 289.792, a cui va ad aggiungersi la stima relativa alla componente </w:t>
      </w:r>
      <w:r>
        <w:rPr>
          <w:i/>
        </w:rPr>
        <w:t>creative driven</w:t>
      </w:r>
      <w:r>
        <w:t>, dove confluiscono tutte le attività economiche non strettamente riconducibili alla dimensione culturale ma caratterizzate da strette sinergie con il settore (125.054 imprese).</w:t>
      </w:r>
    </w:p>
    <w:p w:rsidR="00E47068" w:rsidRDefault="00E47068" w:rsidP="00E47068">
      <w:pPr>
        <w:pStyle w:val="NormaleWeb"/>
        <w:shd w:val="clear" w:color="auto" w:fill="FFFFFF"/>
        <w:spacing w:before="0" w:beforeAutospacing="0" w:after="0" w:afterAutospacing="0"/>
        <w:jc w:val="both"/>
      </w:pPr>
    </w:p>
    <w:p w:rsidR="00E47068" w:rsidRDefault="00E47068" w:rsidP="00E47068">
      <w:pPr>
        <w:pStyle w:val="NormaleWeb"/>
        <w:shd w:val="clear" w:color="auto" w:fill="FFFFFF"/>
        <w:spacing w:before="0" w:beforeAutospacing="0" w:after="0" w:afterAutospacing="0"/>
        <w:jc w:val="both"/>
      </w:pPr>
      <w:r>
        <w:t xml:space="preserve">Più del 95% delle imprese operanti nel settore </w:t>
      </w:r>
      <w:r>
        <w:rPr>
          <w:i/>
        </w:rPr>
        <w:t>Core</w:t>
      </w:r>
      <w:r>
        <w:t xml:space="preserve"> Cultura appartiene a due soli ambiti: industrie culturali (147.153 mila imprese, pari al 50,6 % del totale) e industrie creative (129.533 imprese, pari al 44,5% del totale).</w:t>
      </w:r>
    </w:p>
    <w:p w:rsidR="00E47068" w:rsidRDefault="00E47068" w:rsidP="00E47068">
      <w:pPr>
        <w:pStyle w:val="NormaleWeb"/>
        <w:shd w:val="clear" w:color="auto" w:fill="FFFFFF"/>
        <w:spacing w:before="0" w:beforeAutospacing="0" w:after="0" w:afterAutospacing="0"/>
        <w:jc w:val="both"/>
      </w:pPr>
    </w:p>
    <w:p w:rsidR="00E47068" w:rsidRDefault="00E47068" w:rsidP="00E47068">
      <w:pPr>
        <w:spacing w:after="0"/>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Focalizzando le dinamiche 2017/2018, ad eccezione delle </w:t>
      </w:r>
      <w:r>
        <w:rPr>
          <w:rFonts w:ascii="Times New Roman" w:hAnsi="Times New Roman" w:cs="Times New Roman"/>
          <w:i/>
          <w:sz w:val="24"/>
          <w:szCs w:val="24"/>
          <w:lang w:eastAsia="it-IT"/>
        </w:rPr>
        <w:t>industrie culturali</w:t>
      </w:r>
      <w:r>
        <w:rPr>
          <w:rFonts w:ascii="Times New Roman" w:hAnsi="Times New Roman" w:cs="Times New Roman"/>
          <w:sz w:val="24"/>
          <w:szCs w:val="24"/>
          <w:lang w:eastAsia="it-IT"/>
        </w:rPr>
        <w:t xml:space="preserve">, che hanno fatto registrare una diminuzione (-0,6%, con il picco positivo di </w:t>
      </w:r>
      <w:r>
        <w:rPr>
          <w:rFonts w:ascii="Times New Roman" w:hAnsi="Times New Roman" w:cs="Times New Roman"/>
          <w:i/>
          <w:sz w:val="24"/>
          <w:szCs w:val="24"/>
          <w:lang w:eastAsia="it-IT"/>
        </w:rPr>
        <w:t>videogiochi e software</w:t>
      </w:r>
      <w:r>
        <w:rPr>
          <w:rFonts w:ascii="Times New Roman" w:hAnsi="Times New Roman" w:cs="Times New Roman"/>
          <w:sz w:val="24"/>
          <w:szCs w:val="24"/>
          <w:lang w:eastAsia="it-IT"/>
        </w:rPr>
        <w:t xml:space="preserve"> cresciuti del +2,7%, e negativo di editoria e stampa, -2,0%), nel 2018 gli altri raggruppamenti sono cresciuti, sia quello più consistente delle </w:t>
      </w:r>
      <w:r>
        <w:rPr>
          <w:rFonts w:ascii="Times New Roman" w:hAnsi="Times New Roman" w:cs="Times New Roman"/>
          <w:i/>
          <w:sz w:val="24"/>
          <w:szCs w:val="24"/>
          <w:lang w:eastAsia="it-IT"/>
        </w:rPr>
        <w:t>industrie creative</w:t>
      </w:r>
      <w:r>
        <w:rPr>
          <w:rFonts w:ascii="Times New Roman" w:hAnsi="Times New Roman" w:cs="Times New Roman"/>
          <w:sz w:val="24"/>
          <w:szCs w:val="24"/>
          <w:lang w:eastAsia="it-IT"/>
        </w:rPr>
        <w:t xml:space="preserve"> (+0,9%, trainato da </w:t>
      </w:r>
      <w:r>
        <w:rPr>
          <w:rFonts w:ascii="Times New Roman" w:hAnsi="Times New Roman" w:cs="Times New Roman"/>
          <w:i/>
          <w:sz w:val="24"/>
          <w:szCs w:val="24"/>
          <w:lang w:eastAsia="it-IT"/>
        </w:rPr>
        <w:t>comunicazione</w:t>
      </w:r>
      <w:r>
        <w:rPr>
          <w:rFonts w:ascii="Times New Roman" w:hAnsi="Times New Roman" w:cs="Times New Roman"/>
          <w:sz w:val="24"/>
          <w:szCs w:val="24"/>
          <w:lang w:eastAsia="it-IT"/>
        </w:rPr>
        <w:t xml:space="preserve">, +1,3% e </w:t>
      </w:r>
      <w:r>
        <w:rPr>
          <w:rFonts w:ascii="Times New Roman" w:hAnsi="Times New Roman" w:cs="Times New Roman"/>
          <w:i/>
          <w:sz w:val="24"/>
          <w:szCs w:val="24"/>
          <w:lang w:eastAsia="it-IT"/>
        </w:rPr>
        <w:t>design</w:t>
      </w:r>
      <w:r>
        <w:rPr>
          <w:rFonts w:ascii="Times New Roman" w:hAnsi="Times New Roman" w:cs="Times New Roman"/>
          <w:sz w:val="24"/>
          <w:szCs w:val="24"/>
          <w:lang w:eastAsia="it-IT"/>
        </w:rPr>
        <w:t xml:space="preserve">, +2,1%), sia quelli più piccoli ma molto dinamici delle </w:t>
      </w:r>
      <w:r>
        <w:rPr>
          <w:rFonts w:ascii="Times New Roman" w:hAnsi="Times New Roman" w:cs="Times New Roman"/>
          <w:i/>
          <w:sz w:val="24"/>
          <w:szCs w:val="24"/>
          <w:lang w:eastAsia="it-IT"/>
        </w:rPr>
        <w:t>performing arts</w:t>
      </w:r>
      <w:r>
        <w:rPr>
          <w:rFonts w:ascii="Times New Roman" w:hAnsi="Times New Roman" w:cs="Times New Roman"/>
          <w:sz w:val="24"/>
          <w:szCs w:val="24"/>
          <w:lang w:eastAsia="it-IT"/>
        </w:rPr>
        <w:t xml:space="preserve"> (+2,7%) e del </w:t>
      </w:r>
      <w:r>
        <w:rPr>
          <w:rFonts w:ascii="Times New Roman" w:hAnsi="Times New Roman" w:cs="Times New Roman"/>
          <w:i/>
          <w:sz w:val="24"/>
          <w:szCs w:val="24"/>
          <w:lang w:eastAsia="it-IT"/>
        </w:rPr>
        <w:t>patrimonio storico-artistico</w:t>
      </w:r>
      <w:r>
        <w:rPr>
          <w:rFonts w:ascii="Times New Roman" w:hAnsi="Times New Roman" w:cs="Times New Roman"/>
          <w:sz w:val="24"/>
          <w:szCs w:val="24"/>
          <w:lang w:eastAsia="it-IT"/>
        </w:rPr>
        <w:t xml:space="preserve"> (+4,9%). </w:t>
      </w:r>
    </w:p>
    <w:p w:rsidR="00E47068" w:rsidRDefault="00E47068" w:rsidP="00E47068">
      <w:pPr>
        <w:pStyle w:val="NormaleWeb"/>
        <w:shd w:val="clear" w:color="auto" w:fill="FFFFFF"/>
        <w:spacing w:before="0" w:beforeAutospacing="0" w:after="0" w:afterAutospacing="0"/>
        <w:jc w:val="both"/>
      </w:pPr>
      <w:r>
        <w:t xml:space="preserve">Le </w:t>
      </w:r>
      <w:r>
        <w:rPr>
          <w:b/>
          <w:bCs/>
        </w:rPr>
        <w:t>imprese femminili</w:t>
      </w:r>
      <w:r>
        <w:t xml:space="preserve"> sono in aumento nella filiera: sono, infatti, ben 52.391, pari al 18% delle imprese del </w:t>
      </w:r>
      <w:r>
        <w:rPr>
          <w:i/>
        </w:rPr>
        <w:t>Core</w:t>
      </w:r>
      <w:r>
        <w:t xml:space="preserve"> Cultura. La presenza femminile è particolarmente elevata nelle imprese del patrimonio storico-artistico (31,8%), mentre è più bassa nei settori dell’architettura e design (6,5%) e videogiochi e software (9,6%).</w:t>
      </w:r>
    </w:p>
    <w:p w:rsidR="00A55FAF" w:rsidRPr="00A55FAF" w:rsidRDefault="00E47068" w:rsidP="00A55FAF">
      <w:pPr>
        <w:pStyle w:val="NormaleWeb"/>
        <w:shd w:val="clear" w:color="auto" w:fill="FFFFFF"/>
        <w:spacing w:before="0" w:beforeAutospacing="0" w:after="0" w:afterAutospacing="0"/>
        <w:jc w:val="both"/>
      </w:pPr>
      <w:r>
        <w:t xml:space="preserve">Le </w:t>
      </w:r>
      <w:r>
        <w:rPr>
          <w:b/>
          <w:bCs/>
        </w:rPr>
        <w:t>imprese giovanili</w:t>
      </w:r>
      <w:r>
        <w:t xml:space="preserve"> (condotte o a prevalenza di conduzione da parte di persone con meno di 35 anni) sono 21.993 e pesano per il 7,6% (per il totale economia la quota è 9,3%). In questo caso sono particolarmente presenti nelle imprese di videogiochi e software (10,0%), e molto poco nel settore dell’architettura e design (3,8%)</w:t>
      </w:r>
      <w:r w:rsidR="00A55FAF">
        <w:t>.</w:t>
      </w:r>
    </w:p>
    <w:p w:rsidR="00E47068" w:rsidRDefault="00E47068" w:rsidP="00E47068">
      <w:pPr>
        <w:spacing w:before="360" w:after="0"/>
        <w:ind w:left="360"/>
        <w:jc w:val="center"/>
        <w:rPr>
          <w:rFonts w:eastAsia="Times New Roman" w:cs="Calibri"/>
          <w:b/>
          <w:lang w:eastAsia="it-IT"/>
        </w:rPr>
      </w:pPr>
      <w:r>
        <w:rPr>
          <w:rFonts w:eastAsia="Times New Roman" w:cs="Calibri"/>
          <w:b/>
          <w:lang w:eastAsia="it-IT"/>
        </w:rPr>
        <w:t>Imprese del Sistema Produttivo Culturale e Creativo per settori</w:t>
      </w:r>
    </w:p>
    <w:p w:rsidR="00E47068" w:rsidRDefault="00E47068" w:rsidP="00E47068">
      <w:pPr>
        <w:spacing w:after="0"/>
        <w:ind w:left="360"/>
        <w:jc w:val="center"/>
        <w:rPr>
          <w:rFonts w:eastAsia="Times New Roman" w:cs="Calibri"/>
          <w:lang w:eastAsia="it-IT"/>
        </w:rPr>
      </w:pPr>
      <w:r>
        <w:rPr>
          <w:rFonts w:eastAsia="Times New Roman" w:cs="Calibri"/>
          <w:lang w:eastAsia="it-IT"/>
        </w:rPr>
        <w:t>Anno 2018 (</w:t>
      </w:r>
      <w:r>
        <w:rPr>
          <w:rFonts w:eastAsia="Times New Roman" w:cs="Calibri"/>
          <w:i/>
          <w:lang w:eastAsia="it-IT"/>
        </w:rPr>
        <w:t>valori assoluti</w:t>
      </w:r>
      <w:r>
        <w:rPr>
          <w:rFonts w:eastAsia="Times New Roman" w:cs="Calibri"/>
          <w:lang w:eastAsia="it-IT"/>
        </w:rPr>
        <w:t>)</w:t>
      </w:r>
    </w:p>
    <w:p w:rsidR="00E47068" w:rsidRDefault="00E47068" w:rsidP="00E47068">
      <w:pPr>
        <w:spacing w:after="0" w:line="240" w:lineRule="auto"/>
        <w:ind w:left="360"/>
        <w:jc w:val="center"/>
        <w:rPr>
          <w:rFonts w:eastAsia="Times New Roman" w:cs="Calibri"/>
          <w:b/>
          <w:lang w:eastAsia="it-IT"/>
        </w:rPr>
      </w:pPr>
      <w:r>
        <w:rPr>
          <w:rFonts w:eastAsia="Times New Roman" w:cs="Calibri"/>
          <w:b/>
          <w:noProof/>
          <w:lang w:eastAsia="it-IT"/>
        </w:rPr>
        <w:drawing>
          <wp:inline distT="0" distB="0" distL="0" distR="0">
            <wp:extent cx="4238625" cy="2171700"/>
            <wp:effectExtent l="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854" b="10880"/>
                    <a:stretch>
                      <a:fillRect/>
                    </a:stretch>
                  </pic:blipFill>
                  <pic:spPr bwMode="auto">
                    <a:xfrm>
                      <a:off x="0" y="0"/>
                      <a:ext cx="4238625" cy="2171700"/>
                    </a:xfrm>
                    <a:prstGeom prst="rect">
                      <a:avLst/>
                    </a:prstGeom>
                    <a:noFill/>
                    <a:ln>
                      <a:noFill/>
                    </a:ln>
                  </pic:spPr>
                </pic:pic>
              </a:graphicData>
            </a:graphic>
          </wp:inline>
        </w:drawing>
      </w:r>
    </w:p>
    <w:p w:rsidR="00E47068" w:rsidRDefault="00E47068" w:rsidP="00E47068">
      <w:pPr>
        <w:spacing w:after="240"/>
      </w:pPr>
      <w:r>
        <w:rPr>
          <w:rFonts w:cs="Calibri"/>
          <w:sz w:val="20"/>
          <w:szCs w:val="20"/>
        </w:rPr>
        <w:t>Fonte: Unioncamere, Fondazione Symbola, 2019</w:t>
      </w:r>
    </w:p>
    <w:p w:rsidR="005A151B" w:rsidRDefault="005A151B" w:rsidP="00E47068">
      <w:pPr>
        <w:spacing w:before="360" w:after="0"/>
        <w:jc w:val="center"/>
        <w:rPr>
          <w:b/>
        </w:rPr>
      </w:pPr>
    </w:p>
    <w:p w:rsidR="005A151B" w:rsidRDefault="005A151B" w:rsidP="00E47068">
      <w:pPr>
        <w:spacing w:before="360" w:after="0"/>
        <w:jc w:val="center"/>
        <w:rPr>
          <w:b/>
        </w:rPr>
      </w:pPr>
    </w:p>
    <w:p w:rsidR="005A151B" w:rsidRDefault="005A151B" w:rsidP="00E47068">
      <w:pPr>
        <w:spacing w:before="360" w:after="0"/>
        <w:jc w:val="center"/>
        <w:rPr>
          <w:b/>
        </w:rPr>
      </w:pPr>
    </w:p>
    <w:p w:rsidR="00A55FAF" w:rsidRDefault="00A55FAF" w:rsidP="00E47068">
      <w:pPr>
        <w:spacing w:before="360" w:after="0"/>
        <w:jc w:val="center"/>
        <w:rPr>
          <w:b/>
        </w:rPr>
      </w:pPr>
    </w:p>
    <w:p w:rsidR="00A55FAF" w:rsidRDefault="00A55FAF" w:rsidP="00E47068">
      <w:pPr>
        <w:spacing w:before="360" w:after="0"/>
        <w:jc w:val="center"/>
        <w:rPr>
          <w:b/>
        </w:rPr>
      </w:pPr>
    </w:p>
    <w:p w:rsidR="00A55FAF" w:rsidRDefault="00A55FAF" w:rsidP="00E47068">
      <w:pPr>
        <w:spacing w:before="360" w:after="0"/>
        <w:jc w:val="center"/>
        <w:rPr>
          <w:b/>
        </w:rPr>
      </w:pPr>
    </w:p>
    <w:p w:rsidR="00A55FAF" w:rsidRDefault="00A55FAF" w:rsidP="00E47068">
      <w:pPr>
        <w:spacing w:before="360" w:after="0"/>
        <w:jc w:val="center"/>
        <w:rPr>
          <w:b/>
        </w:rPr>
      </w:pPr>
    </w:p>
    <w:p w:rsidR="00E47068" w:rsidRDefault="00E47068" w:rsidP="00E47068">
      <w:pPr>
        <w:spacing w:before="360" w:after="0"/>
        <w:jc w:val="center"/>
        <w:rPr>
          <w:rFonts w:eastAsia="Times New Roman" w:cs="Calibri"/>
          <w:b/>
          <w:lang w:eastAsia="it-IT"/>
        </w:rPr>
      </w:pPr>
      <w:r>
        <w:rPr>
          <w:b/>
        </w:rPr>
        <w:t>Imprese</w:t>
      </w:r>
      <w:r>
        <w:rPr>
          <w:rFonts w:eastAsia="Times New Roman" w:cs="Calibri"/>
          <w:b/>
          <w:lang w:eastAsia="it-IT"/>
        </w:rPr>
        <w:t xml:space="preserve"> del </w:t>
      </w:r>
      <w:r>
        <w:rPr>
          <w:rFonts w:eastAsia="Times New Roman" w:cs="Calibri"/>
          <w:b/>
          <w:i/>
          <w:lang w:eastAsia="it-IT"/>
        </w:rPr>
        <w:t>core</w:t>
      </w:r>
      <w:r>
        <w:rPr>
          <w:rFonts w:eastAsia="Times New Roman" w:cs="Calibri"/>
          <w:b/>
          <w:lang w:eastAsia="it-IT"/>
        </w:rPr>
        <w:t xml:space="preserve"> del Sistema Produttivo Culturale e Creativo per sottosettori</w:t>
      </w:r>
    </w:p>
    <w:p w:rsidR="00E47068" w:rsidRDefault="00E47068" w:rsidP="00E47068">
      <w:pPr>
        <w:spacing w:after="0"/>
        <w:ind w:left="360"/>
        <w:jc w:val="center"/>
        <w:rPr>
          <w:rFonts w:eastAsia="Times New Roman" w:cs="Calibri"/>
          <w:lang w:eastAsia="it-IT"/>
        </w:rPr>
      </w:pPr>
      <w:r>
        <w:rPr>
          <w:rFonts w:eastAsia="Times New Roman" w:cs="Calibri"/>
          <w:lang w:eastAsia="it-IT"/>
        </w:rPr>
        <w:t>Anno 2018 (</w:t>
      </w:r>
      <w:r>
        <w:rPr>
          <w:rFonts w:eastAsia="Times New Roman" w:cs="Calibri"/>
          <w:i/>
          <w:lang w:eastAsia="it-IT"/>
        </w:rPr>
        <w:t>valori assoluti</w:t>
      </w:r>
      <w:r>
        <w:rPr>
          <w:rFonts w:eastAsia="Times New Roman" w:cs="Calibri"/>
          <w:lang w:eastAsia="it-IT"/>
        </w:rPr>
        <w:t>)</w:t>
      </w:r>
    </w:p>
    <w:p w:rsidR="00E47068" w:rsidRDefault="00E47068" w:rsidP="00E47068">
      <w:pPr>
        <w:spacing w:after="0"/>
        <w:ind w:left="357"/>
        <w:jc w:val="center"/>
        <w:rPr>
          <w:rFonts w:cs="Calibri"/>
          <w:sz w:val="20"/>
          <w:szCs w:val="20"/>
        </w:rPr>
      </w:pPr>
      <w:r>
        <w:rPr>
          <w:noProof/>
          <w:lang w:eastAsia="it-IT"/>
        </w:rPr>
        <w:drawing>
          <wp:inline distT="0" distB="0" distL="0" distR="0">
            <wp:extent cx="4181475" cy="2409825"/>
            <wp:effectExtent l="0" t="0" r="9525" b="952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379" b="1537"/>
                    <a:stretch>
                      <a:fillRect/>
                    </a:stretch>
                  </pic:blipFill>
                  <pic:spPr bwMode="auto">
                    <a:xfrm>
                      <a:off x="0" y="0"/>
                      <a:ext cx="4181475" cy="2409825"/>
                    </a:xfrm>
                    <a:prstGeom prst="rect">
                      <a:avLst/>
                    </a:prstGeom>
                    <a:noFill/>
                    <a:ln>
                      <a:noFill/>
                    </a:ln>
                  </pic:spPr>
                </pic:pic>
              </a:graphicData>
            </a:graphic>
          </wp:inline>
        </w:drawing>
      </w:r>
    </w:p>
    <w:p w:rsidR="00E47068" w:rsidRDefault="00E47068" w:rsidP="00E47068">
      <w:pPr>
        <w:spacing w:after="360"/>
        <w:ind w:left="360"/>
        <w:rPr>
          <w:rFonts w:cs="Calibri"/>
          <w:sz w:val="20"/>
          <w:szCs w:val="20"/>
        </w:rPr>
      </w:pPr>
      <w:r>
        <w:rPr>
          <w:rFonts w:cs="Calibri"/>
          <w:sz w:val="20"/>
          <w:szCs w:val="20"/>
        </w:rPr>
        <w:t>Fonte: Unioncamere, Fondazione Symbola, 2019</w:t>
      </w:r>
    </w:p>
    <w:p w:rsidR="00E47068" w:rsidRDefault="00E47068" w:rsidP="00E47068">
      <w:pPr>
        <w:spacing w:before="360" w:after="0"/>
        <w:ind w:left="360"/>
        <w:jc w:val="center"/>
        <w:rPr>
          <w:rFonts w:eastAsia="Times New Roman" w:cs="Calibri"/>
          <w:b/>
          <w:lang w:eastAsia="it-IT"/>
        </w:rPr>
      </w:pPr>
    </w:p>
    <w:p w:rsidR="00E47068" w:rsidRDefault="00E47068" w:rsidP="00E47068">
      <w:pPr>
        <w:spacing w:before="360" w:after="0"/>
        <w:ind w:left="360"/>
        <w:jc w:val="center"/>
        <w:rPr>
          <w:rFonts w:eastAsia="Times New Roman" w:cs="Calibri"/>
          <w:b/>
          <w:lang w:eastAsia="it-IT"/>
        </w:rPr>
      </w:pPr>
      <w:r>
        <w:rPr>
          <w:rFonts w:eastAsia="Times New Roman" w:cs="Calibri"/>
          <w:b/>
          <w:lang w:eastAsia="it-IT"/>
        </w:rPr>
        <w:t>Distribuzione delle imprese del Core cultura per tipologia di conduzione* e sottosettori</w:t>
      </w:r>
    </w:p>
    <w:p w:rsidR="00E47068" w:rsidRDefault="00E47068" w:rsidP="00E47068">
      <w:pPr>
        <w:spacing w:after="0"/>
        <w:ind w:left="360"/>
        <w:jc w:val="center"/>
        <w:rPr>
          <w:rFonts w:eastAsia="Times New Roman" w:cs="Calibri"/>
          <w:lang w:eastAsia="it-IT"/>
        </w:rPr>
      </w:pPr>
      <w:r>
        <w:rPr>
          <w:rFonts w:eastAsia="Times New Roman" w:cs="Calibri"/>
          <w:lang w:eastAsia="it-IT"/>
        </w:rPr>
        <w:t>Anno 2018 (</w:t>
      </w:r>
      <w:r>
        <w:rPr>
          <w:rFonts w:eastAsia="Times New Roman" w:cs="Calibri"/>
          <w:i/>
          <w:lang w:eastAsia="it-IT"/>
        </w:rPr>
        <w:t>valori assoluti e distribuzioni percentuali</w:t>
      </w:r>
      <w:r>
        <w:rPr>
          <w:rFonts w:eastAsia="Times New Roman" w:cs="Calibri"/>
          <w:lang w:eastAsia="it-IT"/>
        </w:rPr>
        <w:t>)</w:t>
      </w:r>
    </w:p>
    <w:tbl>
      <w:tblPr>
        <w:tblW w:w="10060" w:type="dxa"/>
        <w:tblCellMar>
          <w:left w:w="70" w:type="dxa"/>
          <w:right w:w="70" w:type="dxa"/>
        </w:tblCellMar>
        <w:tblLook w:val="04A0"/>
      </w:tblPr>
      <w:tblGrid>
        <w:gridCol w:w="2320"/>
        <w:gridCol w:w="680"/>
        <w:gridCol w:w="996"/>
        <w:gridCol w:w="904"/>
        <w:gridCol w:w="680"/>
        <w:gridCol w:w="996"/>
        <w:gridCol w:w="904"/>
        <w:gridCol w:w="680"/>
        <w:gridCol w:w="996"/>
        <w:gridCol w:w="904"/>
      </w:tblGrid>
      <w:tr w:rsidR="00E47068" w:rsidTr="00E47068">
        <w:trPr>
          <w:trHeight w:val="255"/>
        </w:trPr>
        <w:tc>
          <w:tcPr>
            <w:tcW w:w="2320" w:type="dxa"/>
            <w:tcBorders>
              <w:top w:val="single" w:sz="4" w:space="0" w:color="auto"/>
              <w:left w:val="nil"/>
              <w:bottom w:val="nil"/>
              <w:right w:val="nil"/>
            </w:tcBorders>
            <w:noWrap/>
            <w:vAlign w:val="center"/>
            <w:hideMark/>
          </w:tcPr>
          <w:p w:rsidR="00E47068" w:rsidRDefault="00E47068">
            <w:pPr>
              <w:spacing w:after="0" w:line="240" w:lineRule="auto"/>
              <w:rPr>
                <w:rFonts w:eastAsia="Times New Roman" w:cs="Calibri"/>
                <w:sz w:val="20"/>
                <w:szCs w:val="20"/>
                <w:lang w:eastAsia="it-IT"/>
              </w:rPr>
            </w:pPr>
            <w:r>
              <w:rPr>
                <w:rFonts w:eastAsia="Times New Roman" w:cs="Calibri"/>
                <w:sz w:val="20"/>
                <w:szCs w:val="20"/>
                <w:lang w:eastAsia="it-IT"/>
              </w:rPr>
              <w:t> </w:t>
            </w:r>
          </w:p>
        </w:tc>
        <w:tc>
          <w:tcPr>
            <w:tcW w:w="2580" w:type="dxa"/>
            <w:gridSpan w:val="3"/>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Imprese femminili</w:t>
            </w:r>
          </w:p>
        </w:tc>
        <w:tc>
          <w:tcPr>
            <w:tcW w:w="2580" w:type="dxa"/>
            <w:gridSpan w:val="3"/>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Imprese giovanili</w:t>
            </w:r>
          </w:p>
        </w:tc>
        <w:tc>
          <w:tcPr>
            <w:tcW w:w="2580" w:type="dxa"/>
            <w:gridSpan w:val="3"/>
            <w:tcBorders>
              <w:top w:val="single" w:sz="4" w:space="0" w:color="auto"/>
              <w:left w:val="nil"/>
              <w:bottom w:val="nil"/>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Imprese straniere</w:t>
            </w:r>
          </w:p>
        </w:tc>
      </w:tr>
      <w:tr w:rsidR="00E47068" w:rsidTr="00E47068">
        <w:trPr>
          <w:trHeight w:val="255"/>
        </w:trPr>
        <w:tc>
          <w:tcPr>
            <w:tcW w:w="2320" w:type="dxa"/>
            <w:tcBorders>
              <w:top w:val="nil"/>
              <w:left w:val="nil"/>
              <w:bottom w:val="single" w:sz="4" w:space="0" w:color="auto"/>
              <w:right w:val="nil"/>
            </w:tcBorders>
            <w:noWrap/>
            <w:vAlign w:val="center"/>
            <w:hideMark/>
          </w:tcPr>
          <w:p w:rsidR="00E47068" w:rsidRDefault="00E47068">
            <w:pPr>
              <w:spacing w:after="0" w:line="240" w:lineRule="auto"/>
              <w:rPr>
                <w:rFonts w:eastAsia="Times New Roman" w:cs="Calibri"/>
                <w:b/>
                <w:bCs/>
                <w:sz w:val="18"/>
                <w:szCs w:val="18"/>
                <w:lang w:eastAsia="it-IT"/>
              </w:rPr>
            </w:pPr>
            <w:r>
              <w:rPr>
                <w:rFonts w:eastAsia="Times New Roman" w:cs="Calibri"/>
                <w:b/>
                <w:bCs/>
                <w:sz w:val="18"/>
                <w:szCs w:val="18"/>
                <w:lang w:eastAsia="it-IT"/>
              </w:rPr>
              <w:t> </w:t>
            </w:r>
          </w:p>
        </w:tc>
        <w:tc>
          <w:tcPr>
            <w:tcW w:w="680" w:type="dxa"/>
            <w:tcBorders>
              <w:top w:val="nil"/>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v.a.</w:t>
            </w:r>
          </w:p>
        </w:tc>
        <w:tc>
          <w:tcPr>
            <w:tcW w:w="996" w:type="dxa"/>
            <w:tcBorders>
              <w:top w:val="nil"/>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 su SPCC</w:t>
            </w:r>
          </w:p>
        </w:tc>
        <w:tc>
          <w:tcPr>
            <w:tcW w:w="904" w:type="dxa"/>
            <w:tcBorders>
              <w:top w:val="nil"/>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 su TOT</w:t>
            </w:r>
          </w:p>
        </w:tc>
        <w:tc>
          <w:tcPr>
            <w:tcW w:w="680" w:type="dxa"/>
            <w:tcBorders>
              <w:top w:val="nil"/>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v.a.</w:t>
            </w:r>
          </w:p>
        </w:tc>
        <w:tc>
          <w:tcPr>
            <w:tcW w:w="996" w:type="dxa"/>
            <w:tcBorders>
              <w:top w:val="nil"/>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 su SPCC</w:t>
            </w:r>
          </w:p>
        </w:tc>
        <w:tc>
          <w:tcPr>
            <w:tcW w:w="904" w:type="dxa"/>
            <w:tcBorders>
              <w:top w:val="nil"/>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 su TOT</w:t>
            </w:r>
          </w:p>
        </w:tc>
        <w:tc>
          <w:tcPr>
            <w:tcW w:w="680"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v.a.</w:t>
            </w:r>
          </w:p>
        </w:tc>
        <w:tc>
          <w:tcPr>
            <w:tcW w:w="996"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 su SPCC</w:t>
            </w:r>
          </w:p>
        </w:tc>
        <w:tc>
          <w:tcPr>
            <w:tcW w:w="904"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eastAsia="Times New Roman" w:cs="Calibri"/>
                <w:b/>
                <w:bCs/>
                <w:sz w:val="18"/>
                <w:szCs w:val="18"/>
                <w:lang w:eastAsia="it-IT"/>
              </w:rPr>
            </w:pPr>
            <w:r>
              <w:rPr>
                <w:rFonts w:eastAsia="Times New Roman" w:cs="Calibri"/>
                <w:b/>
                <w:bCs/>
                <w:sz w:val="18"/>
                <w:szCs w:val="18"/>
                <w:lang w:eastAsia="it-IT"/>
              </w:rPr>
              <w:t>% su TOT</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b/>
                <w:bCs/>
                <w:sz w:val="18"/>
                <w:szCs w:val="18"/>
                <w:lang w:eastAsia="it-IT"/>
              </w:rPr>
            </w:pPr>
            <w:r>
              <w:rPr>
                <w:rFonts w:eastAsia="Times New Roman" w:cs="Calibri"/>
                <w:b/>
                <w:bCs/>
                <w:sz w:val="18"/>
                <w:szCs w:val="18"/>
                <w:lang w:eastAsia="it-IT"/>
              </w:rPr>
              <w:t>Industrie creative</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15.610</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12,1</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29,8</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7.460</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5,8</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33,9</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4.373</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3,4</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37,8</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sz w:val="18"/>
                <w:szCs w:val="18"/>
                <w:lang w:eastAsia="it-IT"/>
              </w:rPr>
            </w:pPr>
            <w:r>
              <w:rPr>
                <w:rFonts w:eastAsia="Times New Roman" w:cs="Calibri"/>
                <w:sz w:val="18"/>
                <w:szCs w:val="18"/>
                <w:lang w:eastAsia="it-IT"/>
              </w:rPr>
              <w:t>Architettura e design</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5.517</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6,5</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10,5</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3.203</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3,8</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14,6</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1.261</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1,5</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10,9</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sz w:val="18"/>
                <w:szCs w:val="18"/>
                <w:lang w:eastAsia="it-IT"/>
              </w:rPr>
            </w:pPr>
            <w:r>
              <w:rPr>
                <w:rFonts w:eastAsia="Times New Roman" w:cs="Calibri"/>
                <w:sz w:val="18"/>
                <w:szCs w:val="18"/>
                <w:lang w:eastAsia="it-IT"/>
              </w:rPr>
              <w:t>Comunicazione</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10.092</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22,7</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19,3</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4.257</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9,6</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19,4</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3.112</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7,0</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26,9</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b/>
                <w:bCs/>
                <w:sz w:val="18"/>
                <w:szCs w:val="18"/>
                <w:lang w:eastAsia="it-IT"/>
              </w:rPr>
            </w:pPr>
            <w:r>
              <w:rPr>
                <w:rFonts w:eastAsia="Times New Roman" w:cs="Calibri"/>
                <w:b/>
                <w:bCs/>
                <w:sz w:val="18"/>
                <w:szCs w:val="18"/>
                <w:lang w:eastAsia="it-IT"/>
              </w:rPr>
              <w:t>Industrie culturali</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33.503</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22,8</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63,9</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13.151</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8,9</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59,8</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6.577</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4,5</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56,9</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sz w:val="18"/>
                <w:szCs w:val="18"/>
                <w:lang w:eastAsia="it-IT"/>
              </w:rPr>
            </w:pPr>
            <w:r>
              <w:rPr>
                <w:rFonts w:eastAsia="Times New Roman" w:cs="Calibri"/>
                <w:sz w:val="18"/>
                <w:szCs w:val="18"/>
                <w:lang w:eastAsia="it-IT"/>
              </w:rPr>
              <w:t>Cinema, radio, tv</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2.023</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13,9</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3,9</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1.020</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7,0</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4,6</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560</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3,8</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4,8</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sz w:val="18"/>
                <w:szCs w:val="18"/>
                <w:lang w:eastAsia="it-IT"/>
              </w:rPr>
            </w:pPr>
            <w:r>
              <w:rPr>
                <w:rFonts w:eastAsia="Times New Roman" w:cs="Calibri"/>
                <w:sz w:val="18"/>
                <w:szCs w:val="18"/>
                <w:lang w:eastAsia="it-IT"/>
              </w:rPr>
              <w:t>Videogiochi e software</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3.385</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9,6</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6,5</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3.514</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10,0</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16,0</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1.312</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3,7</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11,4</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sz w:val="18"/>
                <w:szCs w:val="18"/>
                <w:lang w:eastAsia="it-IT"/>
              </w:rPr>
            </w:pPr>
            <w:r>
              <w:rPr>
                <w:rFonts w:eastAsia="Times New Roman" w:cs="Calibri"/>
                <w:sz w:val="18"/>
                <w:szCs w:val="18"/>
                <w:lang w:eastAsia="it-IT"/>
              </w:rPr>
              <w:t>Musica</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579</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12,2</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1,1</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438</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9,2</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2,0</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255</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5,4</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2,2</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sz w:val="18"/>
                <w:szCs w:val="18"/>
                <w:lang w:eastAsia="it-IT"/>
              </w:rPr>
            </w:pPr>
            <w:r>
              <w:rPr>
                <w:rFonts w:eastAsia="Times New Roman" w:cs="Calibri"/>
                <w:sz w:val="18"/>
                <w:szCs w:val="18"/>
                <w:lang w:eastAsia="it-IT"/>
              </w:rPr>
              <w:t>Editoria e stampa</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27.516</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29,7</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52,5</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8.178</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8,8</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37,2</w:t>
            </w:r>
          </w:p>
        </w:tc>
        <w:tc>
          <w:tcPr>
            <w:tcW w:w="680"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4.451</w:t>
            </w:r>
          </w:p>
        </w:tc>
        <w:tc>
          <w:tcPr>
            <w:tcW w:w="996"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4,8</w:t>
            </w:r>
          </w:p>
        </w:tc>
        <w:tc>
          <w:tcPr>
            <w:tcW w:w="904" w:type="dxa"/>
            <w:noWrap/>
            <w:vAlign w:val="center"/>
            <w:hideMark/>
          </w:tcPr>
          <w:p w:rsidR="00E47068" w:rsidRDefault="00E47068">
            <w:pPr>
              <w:spacing w:after="0" w:line="240" w:lineRule="auto"/>
              <w:jc w:val="right"/>
              <w:rPr>
                <w:rFonts w:eastAsia="Times New Roman" w:cs="Calibri"/>
                <w:sz w:val="18"/>
                <w:szCs w:val="18"/>
                <w:lang w:eastAsia="it-IT"/>
              </w:rPr>
            </w:pPr>
            <w:r>
              <w:rPr>
                <w:rFonts w:eastAsia="Times New Roman" w:cs="Calibri"/>
                <w:sz w:val="18"/>
                <w:szCs w:val="18"/>
                <w:lang w:eastAsia="it-IT"/>
              </w:rPr>
              <w:t>38,5</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b/>
                <w:bCs/>
                <w:sz w:val="18"/>
                <w:szCs w:val="18"/>
                <w:lang w:eastAsia="it-IT"/>
              </w:rPr>
            </w:pPr>
            <w:r>
              <w:rPr>
                <w:rFonts w:eastAsia="Times New Roman" w:cs="Calibri"/>
                <w:b/>
                <w:bCs/>
                <w:sz w:val="18"/>
                <w:szCs w:val="18"/>
                <w:lang w:eastAsia="it-IT"/>
              </w:rPr>
              <w:t>Performing arts</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2.906</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22,1</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5,5</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1.327</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10,1</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6,0</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586</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4,5</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5,1</w:t>
            </w:r>
          </w:p>
        </w:tc>
      </w:tr>
      <w:tr w:rsidR="00E47068" w:rsidTr="00E47068">
        <w:trPr>
          <w:trHeight w:val="255"/>
        </w:trPr>
        <w:tc>
          <w:tcPr>
            <w:tcW w:w="2320" w:type="dxa"/>
            <w:noWrap/>
            <w:vAlign w:val="center"/>
            <w:hideMark/>
          </w:tcPr>
          <w:p w:rsidR="00E47068" w:rsidRDefault="00E47068">
            <w:pPr>
              <w:spacing w:after="0" w:line="240" w:lineRule="auto"/>
              <w:rPr>
                <w:rFonts w:eastAsia="Times New Roman" w:cs="Calibri"/>
                <w:b/>
                <w:bCs/>
                <w:sz w:val="18"/>
                <w:szCs w:val="18"/>
                <w:lang w:eastAsia="it-IT"/>
              </w:rPr>
            </w:pPr>
            <w:r>
              <w:rPr>
                <w:rFonts w:eastAsia="Times New Roman" w:cs="Calibri"/>
                <w:b/>
                <w:bCs/>
                <w:sz w:val="18"/>
                <w:szCs w:val="18"/>
                <w:lang w:eastAsia="it-IT"/>
              </w:rPr>
              <w:t>Patrimonio storico-artistico</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373</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31,8</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0,7</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55</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4,7</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0,2</w:t>
            </w:r>
          </w:p>
        </w:tc>
        <w:tc>
          <w:tcPr>
            <w:tcW w:w="680"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21</w:t>
            </w:r>
          </w:p>
        </w:tc>
        <w:tc>
          <w:tcPr>
            <w:tcW w:w="996"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1,8</w:t>
            </w:r>
          </w:p>
        </w:tc>
        <w:tc>
          <w:tcPr>
            <w:tcW w:w="904" w:type="dxa"/>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0,2</w:t>
            </w:r>
          </w:p>
        </w:tc>
      </w:tr>
      <w:tr w:rsidR="00E47068" w:rsidTr="00E47068">
        <w:trPr>
          <w:trHeight w:val="255"/>
        </w:trPr>
        <w:tc>
          <w:tcPr>
            <w:tcW w:w="2320" w:type="dxa"/>
            <w:tcBorders>
              <w:top w:val="single" w:sz="4" w:space="0" w:color="auto"/>
              <w:left w:val="nil"/>
              <w:bottom w:val="single" w:sz="4" w:space="0" w:color="auto"/>
              <w:right w:val="nil"/>
            </w:tcBorders>
            <w:noWrap/>
            <w:vAlign w:val="center"/>
            <w:hideMark/>
          </w:tcPr>
          <w:p w:rsidR="00E47068" w:rsidRDefault="00E47068">
            <w:pPr>
              <w:spacing w:after="0" w:line="240" w:lineRule="auto"/>
              <w:rPr>
                <w:rFonts w:eastAsia="Times New Roman" w:cs="Calibri"/>
                <w:b/>
                <w:bCs/>
                <w:sz w:val="18"/>
                <w:szCs w:val="18"/>
                <w:lang w:eastAsia="it-IT"/>
              </w:rPr>
            </w:pPr>
            <w:r>
              <w:rPr>
                <w:rFonts w:eastAsia="Times New Roman" w:cs="Calibri"/>
                <w:b/>
                <w:bCs/>
                <w:sz w:val="18"/>
                <w:szCs w:val="18"/>
                <w:lang w:eastAsia="it-IT"/>
              </w:rPr>
              <w:t>TOTALE CORE SPCC</w:t>
            </w:r>
          </w:p>
        </w:tc>
        <w:tc>
          <w:tcPr>
            <w:tcW w:w="680"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52.391</w:t>
            </w:r>
          </w:p>
        </w:tc>
        <w:tc>
          <w:tcPr>
            <w:tcW w:w="996"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18,0</w:t>
            </w:r>
          </w:p>
        </w:tc>
        <w:tc>
          <w:tcPr>
            <w:tcW w:w="904"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100,0</w:t>
            </w:r>
          </w:p>
        </w:tc>
        <w:tc>
          <w:tcPr>
            <w:tcW w:w="680"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21.993</w:t>
            </w:r>
          </w:p>
        </w:tc>
        <w:tc>
          <w:tcPr>
            <w:tcW w:w="996"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7,6</w:t>
            </w:r>
          </w:p>
        </w:tc>
        <w:tc>
          <w:tcPr>
            <w:tcW w:w="904"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100,0</w:t>
            </w:r>
          </w:p>
        </w:tc>
        <w:tc>
          <w:tcPr>
            <w:tcW w:w="680"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11.558</w:t>
            </w:r>
          </w:p>
        </w:tc>
        <w:tc>
          <w:tcPr>
            <w:tcW w:w="996"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4,0</w:t>
            </w:r>
          </w:p>
        </w:tc>
        <w:tc>
          <w:tcPr>
            <w:tcW w:w="904" w:type="dxa"/>
            <w:tcBorders>
              <w:top w:val="single" w:sz="4" w:space="0" w:color="auto"/>
              <w:left w:val="nil"/>
              <w:bottom w:val="single" w:sz="4" w:space="0" w:color="auto"/>
              <w:right w:val="nil"/>
            </w:tcBorders>
            <w:noWrap/>
            <w:vAlign w:val="center"/>
            <w:hideMark/>
          </w:tcPr>
          <w:p w:rsidR="00E47068" w:rsidRDefault="00E47068">
            <w:pPr>
              <w:spacing w:after="0" w:line="240" w:lineRule="auto"/>
              <w:jc w:val="right"/>
              <w:rPr>
                <w:rFonts w:eastAsia="Times New Roman" w:cs="Calibri"/>
                <w:b/>
                <w:bCs/>
                <w:sz w:val="18"/>
                <w:szCs w:val="18"/>
                <w:lang w:eastAsia="it-IT"/>
              </w:rPr>
            </w:pPr>
            <w:r>
              <w:rPr>
                <w:rFonts w:eastAsia="Times New Roman" w:cs="Calibri"/>
                <w:b/>
                <w:bCs/>
                <w:sz w:val="18"/>
                <w:szCs w:val="18"/>
                <w:lang w:eastAsia="it-IT"/>
              </w:rPr>
              <w:t>100,0</w:t>
            </w:r>
          </w:p>
        </w:tc>
      </w:tr>
    </w:tbl>
    <w:p w:rsidR="00E47068" w:rsidRDefault="00E47068" w:rsidP="00E47068">
      <w:pPr>
        <w:spacing w:after="0"/>
        <w:rPr>
          <w:rFonts w:cs="Calibri"/>
          <w:sz w:val="20"/>
          <w:szCs w:val="20"/>
        </w:rPr>
      </w:pPr>
      <w:r>
        <w:rPr>
          <w:rFonts w:cs="Calibri"/>
          <w:sz w:val="20"/>
          <w:szCs w:val="20"/>
        </w:rPr>
        <w:t>* Imprese da Registro delle Imprese, quindi al netto degli architetti liberi professionisti.</w:t>
      </w:r>
    </w:p>
    <w:p w:rsidR="00E47068" w:rsidRDefault="00E47068" w:rsidP="00E47068">
      <w:pPr>
        <w:spacing w:after="240"/>
        <w:rPr>
          <w:rStyle w:val="Enfasigrassetto"/>
          <w:b w:val="0"/>
          <w:bCs w:val="0"/>
        </w:rPr>
      </w:pPr>
      <w:r>
        <w:rPr>
          <w:rFonts w:cs="Calibri"/>
          <w:sz w:val="20"/>
          <w:szCs w:val="20"/>
        </w:rPr>
        <w:t>Fonte: Unioncamere, Fondazione Symbola, 2019</w:t>
      </w:r>
    </w:p>
    <w:p w:rsidR="00E47068" w:rsidRDefault="00E47068" w:rsidP="00E47068">
      <w:pPr>
        <w:pStyle w:val="NormaleWeb"/>
        <w:shd w:val="clear" w:color="auto" w:fill="FFFFFF"/>
        <w:spacing w:before="0" w:beforeAutospacing="0" w:after="0" w:afterAutospacing="0"/>
        <w:jc w:val="both"/>
        <w:rPr>
          <w:rStyle w:val="Enfasigrassetto"/>
        </w:rPr>
      </w:pPr>
    </w:p>
    <w:p w:rsidR="00E47068" w:rsidRDefault="00E47068" w:rsidP="00E47068">
      <w:pPr>
        <w:pStyle w:val="NormaleWeb"/>
        <w:shd w:val="clear" w:color="auto" w:fill="FFFFFF"/>
        <w:spacing w:before="0" w:beforeAutospacing="0" w:after="0" w:afterAutospacing="0"/>
        <w:jc w:val="both"/>
        <w:rPr>
          <w:rStyle w:val="Enfasigrassetto"/>
        </w:rPr>
      </w:pPr>
      <w:r>
        <w:rPr>
          <w:rStyle w:val="Enfasigrassetto"/>
        </w:rPr>
        <w:t>Geografia della cultura</w:t>
      </w:r>
    </w:p>
    <w:p w:rsidR="00E47068" w:rsidRDefault="00E47068" w:rsidP="00E47068">
      <w:pPr>
        <w:pStyle w:val="NormaleWeb"/>
        <w:shd w:val="clear" w:color="auto" w:fill="FFFFFF"/>
        <w:spacing w:before="0" w:beforeAutospacing="0" w:after="0" w:afterAutospacing="0"/>
        <w:jc w:val="both"/>
      </w:pPr>
      <w:r>
        <w:lastRenderedPageBreak/>
        <w:t>La grande area metropolitana di Milano è al primo posto nelle graduatorie provinciali per incidenza di ricchezza e occupazione prodotte, con il 10,1% e il 10,3%. Roma è seconda per valore aggiunto (9,9%) e terza per occupazione (8,7%) mentre Torino si colloca, rispettivamente, terza (9,2%) e quarta (8,6%). Seguono, per valore aggiunto, Siena (8,8%), Arezzo (7,9%) e Firenze (7,3%), Aosta al 7,1%, Ancona al 6,8 %, Bologna al 6,6% e Modena al 6,4%.</w:t>
      </w:r>
    </w:p>
    <w:p w:rsidR="00E47068" w:rsidRDefault="00E47068" w:rsidP="00E47068">
      <w:pPr>
        <w:pStyle w:val="NormaleWeb"/>
        <w:shd w:val="clear" w:color="auto" w:fill="FFFFFF"/>
        <w:spacing w:before="0" w:beforeAutospacing="0" w:after="0" w:afterAutospacing="0"/>
        <w:jc w:val="both"/>
      </w:pPr>
      <w:r>
        <w:t xml:space="preserve">In termini di occupazione, come suddetto, la </w:t>
      </w:r>
      <w:r>
        <w:rPr>
          <w:i/>
        </w:rPr>
        <w:t>leadership</w:t>
      </w:r>
      <w:r>
        <w:t xml:space="preserve"> per incidenza dei posti di lavoro sul totale dell’economia è da attribuire a Milano, seguita da Arezzo (9 %), poi Roma, Torino, Firenze.</w:t>
      </w:r>
      <w:bookmarkStart w:id="1" w:name="_Hlk10724569"/>
    </w:p>
    <w:p w:rsidR="00E47068" w:rsidRDefault="00E47068" w:rsidP="00E47068">
      <w:pPr>
        <w:shd w:val="clear" w:color="auto" w:fill="FFFFFF" w:themeFill="background1"/>
        <w:spacing w:before="360" w:after="0"/>
        <w:ind w:right="-85"/>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Prime venti province per ruolo del Sistema Produttivo Culturale e Creativo nell’economia locale</w:t>
      </w:r>
    </w:p>
    <w:p w:rsidR="00E47068" w:rsidRDefault="00E47068" w:rsidP="00E47068">
      <w:pPr>
        <w:spacing w:after="0"/>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Anno 2018 (</w:t>
      </w:r>
      <w:r>
        <w:rPr>
          <w:rFonts w:ascii="Times New Roman" w:eastAsia="Times New Roman" w:hAnsi="Times New Roman" w:cs="Times New Roman"/>
          <w:b/>
          <w:bCs/>
          <w:i/>
          <w:sz w:val="24"/>
          <w:szCs w:val="24"/>
          <w:lang w:eastAsia="it-IT"/>
        </w:rPr>
        <w:t>valori percentuali</w:t>
      </w:r>
      <w:r>
        <w:rPr>
          <w:rFonts w:ascii="Times New Roman" w:eastAsia="Times New Roman" w:hAnsi="Times New Roman" w:cs="Times New Roman"/>
          <w:b/>
          <w:bCs/>
          <w:sz w:val="24"/>
          <w:szCs w:val="24"/>
          <w:lang w:eastAsia="it-IT"/>
        </w:rPr>
        <w:t>)</w:t>
      </w:r>
    </w:p>
    <w:tbl>
      <w:tblPr>
        <w:tblW w:w="5000" w:type="pct"/>
        <w:jc w:val="center"/>
        <w:tblCellMar>
          <w:left w:w="70" w:type="dxa"/>
          <w:right w:w="70" w:type="dxa"/>
        </w:tblCellMar>
        <w:tblLook w:val="04A0"/>
      </w:tblPr>
      <w:tblGrid>
        <w:gridCol w:w="743"/>
        <w:gridCol w:w="2347"/>
        <w:gridCol w:w="1787"/>
        <w:gridCol w:w="780"/>
        <w:gridCol w:w="2347"/>
        <w:gridCol w:w="1774"/>
      </w:tblGrid>
      <w:tr w:rsidR="00E47068" w:rsidTr="00E47068">
        <w:trPr>
          <w:trHeight w:hRule="exact" w:val="284"/>
          <w:jc w:val="center"/>
        </w:trPr>
        <w:tc>
          <w:tcPr>
            <w:tcW w:w="2494" w:type="pct"/>
            <w:gridSpan w:val="3"/>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VALORE AGGIUNTO</w:t>
            </w:r>
          </w:p>
        </w:tc>
        <w:tc>
          <w:tcPr>
            <w:tcW w:w="2506" w:type="pct"/>
            <w:gridSpan w:val="3"/>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OCCUPAZIONE</w:t>
            </w:r>
          </w:p>
        </w:tc>
      </w:tr>
      <w:tr w:rsidR="00E47068" w:rsidTr="00E47068">
        <w:trPr>
          <w:trHeight w:hRule="exact" w:val="284"/>
          <w:jc w:val="center"/>
        </w:trPr>
        <w:tc>
          <w:tcPr>
            <w:tcW w:w="380" w:type="pct"/>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Pos.</w:t>
            </w:r>
          </w:p>
        </w:tc>
        <w:tc>
          <w:tcPr>
            <w:tcW w:w="1200" w:type="pct"/>
            <w:tcBorders>
              <w:top w:val="single" w:sz="4" w:space="0" w:color="auto"/>
              <w:left w:val="nil"/>
              <w:bottom w:val="single" w:sz="4" w:space="0" w:color="auto"/>
              <w:right w:val="nil"/>
            </w:tcBorders>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Province</w:t>
            </w:r>
          </w:p>
        </w:tc>
        <w:tc>
          <w:tcPr>
            <w:tcW w:w="914" w:type="pct"/>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Incidenze %</w:t>
            </w:r>
          </w:p>
        </w:tc>
        <w:tc>
          <w:tcPr>
            <w:tcW w:w="399" w:type="pct"/>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Pos.</w:t>
            </w:r>
          </w:p>
        </w:tc>
        <w:tc>
          <w:tcPr>
            <w:tcW w:w="1200" w:type="pct"/>
            <w:tcBorders>
              <w:top w:val="single" w:sz="4" w:space="0" w:color="auto"/>
              <w:left w:val="nil"/>
              <w:bottom w:val="single" w:sz="4" w:space="0" w:color="auto"/>
              <w:right w:val="nil"/>
            </w:tcBorders>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Province</w:t>
            </w:r>
          </w:p>
        </w:tc>
        <w:tc>
          <w:tcPr>
            <w:tcW w:w="907" w:type="pct"/>
            <w:tcBorders>
              <w:top w:val="single" w:sz="4" w:space="0" w:color="auto"/>
              <w:left w:val="nil"/>
              <w:bottom w:val="single" w:sz="4" w:space="0" w:color="auto"/>
              <w:right w:val="nil"/>
            </w:tcBorders>
            <w:noWrap/>
            <w:vAlign w:val="center"/>
            <w:hideMark/>
          </w:tcPr>
          <w:p w:rsidR="00E47068" w:rsidRDefault="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Incidenze %</w:t>
            </w:r>
          </w:p>
        </w:tc>
      </w:tr>
      <w:tr w:rsidR="00E47068" w:rsidTr="00E47068">
        <w:trPr>
          <w:trHeight w:hRule="exact" w:val="255"/>
          <w:jc w:val="center"/>
        </w:trPr>
        <w:tc>
          <w:tcPr>
            <w:tcW w:w="380" w:type="pct"/>
            <w:tcBorders>
              <w:top w:val="single" w:sz="4" w:space="0" w:color="auto"/>
              <w:left w:val="nil"/>
              <w:bottom w:val="nil"/>
              <w:right w:val="nil"/>
            </w:tcBorders>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p>
        </w:tc>
        <w:tc>
          <w:tcPr>
            <w:tcW w:w="1200" w:type="pct"/>
            <w:tcBorders>
              <w:top w:val="single" w:sz="4" w:space="0" w:color="auto"/>
              <w:left w:val="nil"/>
              <w:bottom w:val="nil"/>
              <w:right w:val="nil"/>
            </w:tcBorders>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Milano</w:t>
            </w:r>
          </w:p>
        </w:tc>
        <w:tc>
          <w:tcPr>
            <w:tcW w:w="914" w:type="pct"/>
            <w:tcBorders>
              <w:top w:val="single" w:sz="4" w:space="0" w:color="auto"/>
              <w:left w:val="nil"/>
              <w:bottom w:val="nil"/>
              <w:right w:val="nil"/>
            </w:tcBorders>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10,1</w:t>
            </w:r>
          </w:p>
        </w:tc>
        <w:tc>
          <w:tcPr>
            <w:tcW w:w="399" w:type="pct"/>
            <w:tcBorders>
              <w:top w:val="single" w:sz="4" w:space="0" w:color="auto"/>
              <w:left w:val="nil"/>
              <w:bottom w:val="nil"/>
              <w:right w:val="nil"/>
            </w:tcBorders>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p>
        </w:tc>
        <w:tc>
          <w:tcPr>
            <w:tcW w:w="1200" w:type="pct"/>
            <w:tcBorders>
              <w:top w:val="single" w:sz="4" w:space="0" w:color="auto"/>
              <w:left w:val="nil"/>
              <w:bottom w:val="nil"/>
              <w:right w:val="nil"/>
            </w:tcBorders>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Milano</w:t>
            </w:r>
          </w:p>
        </w:tc>
        <w:tc>
          <w:tcPr>
            <w:tcW w:w="907" w:type="pct"/>
            <w:tcBorders>
              <w:top w:val="single" w:sz="4" w:space="0" w:color="auto"/>
              <w:left w:val="nil"/>
              <w:bottom w:val="nil"/>
              <w:right w:val="nil"/>
            </w:tcBorders>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10,3</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Roma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9,9</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Arezzo</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9,0</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Torino</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9,2</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Roma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8,7</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Siena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8,8</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Torino</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8,6</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Arezzo</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7,9</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Firenze</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7,8</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Firenze</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7,3</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Trieste</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7,5</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Aosta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7,1</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Bologna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7,4</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Ancona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6,8</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Modena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7,3</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Bologna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6,6</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Aosta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7,3</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Modena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6,4</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Monza e della Brianza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7,3</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Trieste</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6,3</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11)</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Macerata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7,1</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Monza e della Brianza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6,2</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Reggio nell'Emilia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6,9</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Macerata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6,2</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Trento</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6,8</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14)</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Cagliari</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6,1</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14)</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Ancona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6,7</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Padova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6,1</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15)</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Padova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6,6</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16)</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Pisa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6,0</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16)</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Pesaro e Urbino</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6,5</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17)</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Reggio nell'Emilia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5,9</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17)</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Rimini</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6,5</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18)</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Pesaro e Urbino</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5,8</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18)</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Alessandria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6,4</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Trento</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5,6</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Verona</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6,4</w:t>
            </w:r>
          </w:p>
        </w:tc>
      </w:tr>
      <w:tr w:rsidR="00E47068" w:rsidTr="00E47068">
        <w:trPr>
          <w:trHeight w:hRule="exact" w:val="255"/>
          <w:jc w:val="center"/>
        </w:trPr>
        <w:tc>
          <w:tcPr>
            <w:tcW w:w="380"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Verona</w:t>
            </w:r>
          </w:p>
        </w:tc>
        <w:tc>
          <w:tcPr>
            <w:tcW w:w="914"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5,6</w:t>
            </w:r>
          </w:p>
        </w:tc>
        <w:tc>
          <w:tcPr>
            <w:tcW w:w="399" w:type="pct"/>
            <w:noWrap/>
            <w:vAlign w:val="center"/>
            <w:hideMark/>
          </w:tcPr>
          <w:p w:rsidR="00E47068" w:rsidRDefault="00E47068">
            <w:pPr>
              <w:spacing w:after="0" w:line="240" w:lineRule="auto"/>
              <w:ind w:right="113"/>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w:t>
            </w:r>
          </w:p>
        </w:tc>
        <w:tc>
          <w:tcPr>
            <w:tcW w:w="1200" w:type="pct"/>
            <w:noWrap/>
            <w:hideMark/>
          </w:tcPr>
          <w:p w:rsidR="00E47068" w:rsidRDefault="00E47068">
            <w:pPr>
              <w:rPr>
                <w:rFonts w:ascii="Times New Roman" w:hAnsi="Times New Roman" w:cs="Times New Roman"/>
                <w:sz w:val="24"/>
                <w:szCs w:val="24"/>
              </w:rPr>
            </w:pPr>
            <w:r>
              <w:rPr>
                <w:rFonts w:ascii="Times New Roman" w:hAnsi="Times New Roman" w:cs="Times New Roman"/>
                <w:sz w:val="24"/>
                <w:szCs w:val="24"/>
              </w:rPr>
              <w:t>Pordenone</w:t>
            </w:r>
          </w:p>
        </w:tc>
        <w:tc>
          <w:tcPr>
            <w:tcW w:w="907" w:type="pct"/>
            <w:noWrap/>
            <w:tcMar>
              <w:top w:w="0" w:type="dxa"/>
              <w:left w:w="70" w:type="dxa"/>
              <w:bottom w:w="0" w:type="dxa"/>
              <w:right w:w="794" w:type="dxa"/>
            </w:tcMar>
            <w:hideMark/>
          </w:tcPr>
          <w:p w:rsidR="00E47068" w:rsidRDefault="00E47068">
            <w:pPr>
              <w:jc w:val="right"/>
              <w:rPr>
                <w:rFonts w:ascii="Times New Roman" w:hAnsi="Times New Roman" w:cs="Times New Roman"/>
                <w:sz w:val="24"/>
                <w:szCs w:val="24"/>
              </w:rPr>
            </w:pPr>
            <w:r>
              <w:rPr>
                <w:rFonts w:ascii="Times New Roman" w:hAnsi="Times New Roman" w:cs="Times New Roman"/>
                <w:sz w:val="24"/>
                <w:szCs w:val="24"/>
              </w:rPr>
              <w:t>6,2</w:t>
            </w:r>
          </w:p>
        </w:tc>
      </w:tr>
      <w:tr w:rsidR="00E47068" w:rsidTr="00E47068">
        <w:trPr>
          <w:trHeight w:hRule="exact" w:val="113"/>
          <w:jc w:val="center"/>
        </w:trPr>
        <w:tc>
          <w:tcPr>
            <w:tcW w:w="380" w:type="pct"/>
            <w:tcBorders>
              <w:top w:val="nil"/>
              <w:left w:val="nil"/>
              <w:bottom w:val="single" w:sz="4" w:space="0" w:color="auto"/>
              <w:right w:val="nil"/>
            </w:tcBorders>
            <w:noWrap/>
            <w:vAlign w:val="center"/>
          </w:tcPr>
          <w:p w:rsidR="00E47068" w:rsidRDefault="00E47068">
            <w:pPr>
              <w:spacing w:after="0" w:line="240" w:lineRule="auto"/>
              <w:ind w:right="113"/>
              <w:rPr>
                <w:rFonts w:ascii="Times New Roman" w:eastAsia="Times New Roman" w:hAnsi="Times New Roman" w:cs="Times New Roman"/>
                <w:sz w:val="24"/>
                <w:szCs w:val="24"/>
                <w:lang w:eastAsia="it-IT"/>
              </w:rPr>
            </w:pPr>
          </w:p>
        </w:tc>
        <w:tc>
          <w:tcPr>
            <w:tcW w:w="1200" w:type="pct"/>
            <w:tcBorders>
              <w:top w:val="nil"/>
              <w:left w:val="nil"/>
              <w:bottom w:val="single" w:sz="4" w:space="0" w:color="auto"/>
              <w:right w:val="nil"/>
            </w:tcBorders>
            <w:noWrap/>
            <w:vAlign w:val="center"/>
          </w:tcPr>
          <w:p w:rsidR="00E47068" w:rsidRDefault="00E47068">
            <w:pPr>
              <w:spacing w:after="0" w:line="240" w:lineRule="auto"/>
              <w:rPr>
                <w:rFonts w:ascii="Times New Roman" w:eastAsia="Times New Roman" w:hAnsi="Times New Roman" w:cs="Times New Roman"/>
                <w:sz w:val="24"/>
                <w:szCs w:val="24"/>
                <w:lang w:eastAsia="it-IT"/>
              </w:rPr>
            </w:pPr>
          </w:p>
        </w:tc>
        <w:tc>
          <w:tcPr>
            <w:tcW w:w="914" w:type="pct"/>
            <w:tcBorders>
              <w:top w:val="nil"/>
              <w:left w:val="nil"/>
              <w:bottom w:val="single" w:sz="4" w:space="0" w:color="auto"/>
              <w:right w:val="nil"/>
            </w:tcBorders>
            <w:noWrap/>
            <w:tcMar>
              <w:top w:w="0" w:type="dxa"/>
              <w:left w:w="70" w:type="dxa"/>
              <w:bottom w:w="0" w:type="dxa"/>
              <w:right w:w="794" w:type="dxa"/>
            </w:tcMar>
            <w:vAlign w:val="center"/>
          </w:tcPr>
          <w:p w:rsidR="00E47068" w:rsidRDefault="00E47068">
            <w:pPr>
              <w:spacing w:after="0" w:line="240" w:lineRule="auto"/>
              <w:jc w:val="right"/>
              <w:rPr>
                <w:rFonts w:ascii="Times New Roman" w:eastAsia="Times New Roman" w:hAnsi="Times New Roman" w:cs="Times New Roman"/>
                <w:sz w:val="24"/>
                <w:szCs w:val="24"/>
                <w:lang w:eastAsia="it-IT"/>
              </w:rPr>
            </w:pPr>
          </w:p>
        </w:tc>
        <w:tc>
          <w:tcPr>
            <w:tcW w:w="399" w:type="pct"/>
            <w:tcBorders>
              <w:top w:val="nil"/>
              <w:left w:val="nil"/>
              <w:bottom w:val="single" w:sz="4" w:space="0" w:color="auto"/>
              <w:right w:val="nil"/>
            </w:tcBorders>
            <w:noWrap/>
            <w:vAlign w:val="center"/>
          </w:tcPr>
          <w:p w:rsidR="00E47068" w:rsidRDefault="00E47068">
            <w:pPr>
              <w:spacing w:after="0" w:line="240" w:lineRule="auto"/>
              <w:ind w:right="113"/>
              <w:rPr>
                <w:rFonts w:ascii="Times New Roman" w:eastAsia="Times New Roman" w:hAnsi="Times New Roman" w:cs="Times New Roman"/>
                <w:sz w:val="24"/>
                <w:szCs w:val="24"/>
                <w:lang w:eastAsia="it-IT"/>
              </w:rPr>
            </w:pPr>
          </w:p>
        </w:tc>
        <w:tc>
          <w:tcPr>
            <w:tcW w:w="1200" w:type="pct"/>
            <w:tcBorders>
              <w:top w:val="nil"/>
              <w:left w:val="nil"/>
              <w:bottom w:val="single" w:sz="4" w:space="0" w:color="auto"/>
              <w:right w:val="nil"/>
            </w:tcBorders>
            <w:noWrap/>
            <w:vAlign w:val="center"/>
          </w:tcPr>
          <w:p w:rsidR="00E47068" w:rsidRDefault="00E47068">
            <w:pPr>
              <w:spacing w:after="0" w:line="240" w:lineRule="auto"/>
              <w:rPr>
                <w:rFonts w:ascii="Times New Roman" w:eastAsia="Times New Roman" w:hAnsi="Times New Roman" w:cs="Times New Roman"/>
                <w:sz w:val="24"/>
                <w:szCs w:val="24"/>
                <w:lang w:eastAsia="it-IT"/>
              </w:rPr>
            </w:pPr>
          </w:p>
        </w:tc>
        <w:tc>
          <w:tcPr>
            <w:tcW w:w="907" w:type="pct"/>
            <w:tcBorders>
              <w:top w:val="nil"/>
              <w:left w:val="nil"/>
              <w:bottom w:val="single" w:sz="4" w:space="0" w:color="auto"/>
              <w:right w:val="nil"/>
            </w:tcBorders>
            <w:noWrap/>
            <w:tcMar>
              <w:top w:w="0" w:type="dxa"/>
              <w:left w:w="70" w:type="dxa"/>
              <w:bottom w:w="0" w:type="dxa"/>
              <w:right w:w="794" w:type="dxa"/>
            </w:tcMar>
            <w:vAlign w:val="center"/>
          </w:tcPr>
          <w:p w:rsidR="00E47068" w:rsidRDefault="00E47068">
            <w:pPr>
              <w:spacing w:after="0" w:line="240" w:lineRule="auto"/>
              <w:jc w:val="right"/>
              <w:rPr>
                <w:rFonts w:ascii="Times New Roman" w:hAnsi="Times New Roman" w:cs="Times New Roman"/>
                <w:sz w:val="24"/>
                <w:szCs w:val="24"/>
              </w:rPr>
            </w:pPr>
          </w:p>
        </w:tc>
      </w:tr>
      <w:tr w:rsidR="00E47068" w:rsidTr="00E47068">
        <w:trPr>
          <w:trHeight w:hRule="exact" w:val="255"/>
          <w:jc w:val="center"/>
        </w:trPr>
        <w:tc>
          <w:tcPr>
            <w:tcW w:w="380" w:type="pct"/>
            <w:tcBorders>
              <w:top w:val="nil"/>
              <w:left w:val="nil"/>
              <w:bottom w:val="single" w:sz="4" w:space="0" w:color="auto"/>
              <w:right w:val="nil"/>
            </w:tcBorders>
            <w:noWrap/>
            <w:vAlign w:val="center"/>
            <w:hideMark/>
          </w:tcPr>
          <w:p w:rsidR="00E47068" w:rsidRDefault="00E47068">
            <w:pPr>
              <w:spacing w:after="0" w:line="240" w:lineRule="auto"/>
              <w:ind w:right="113"/>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tc>
        <w:tc>
          <w:tcPr>
            <w:tcW w:w="1200" w:type="pct"/>
            <w:tcBorders>
              <w:top w:val="nil"/>
              <w:left w:val="nil"/>
              <w:bottom w:val="single" w:sz="4" w:space="0" w:color="auto"/>
              <w:right w:val="nil"/>
            </w:tcBorders>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ITALIA</w:t>
            </w:r>
          </w:p>
        </w:tc>
        <w:tc>
          <w:tcPr>
            <w:tcW w:w="914" w:type="pct"/>
            <w:tcBorders>
              <w:top w:val="nil"/>
              <w:left w:val="nil"/>
              <w:bottom w:val="single" w:sz="4" w:space="0" w:color="auto"/>
              <w:right w:val="nil"/>
            </w:tcBorders>
            <w:noWrap/>
            <w:tcMar>
              <w:top w:w="0" w:type="dxa"/>
              <w:left w:w="70" w:type="dxa"/>
              <w:bottom w:w="0" w:type="dxa"/>
              <w:right w:w="794" w:type="dxa"/>
            </w:tcMar>
            <w:vAlign w:val="center"/>
            <w:hideMark/>
          </w:tcPr>
          <w:p w:rsidR="00E47068" w:rsidRDefault="00E47068">
            <w:pPr>
              <w:spacing w:after="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6,1</w:t>
            </w:r>
          </w:p>
        </w:tc>
        <w:tc>
          <w:tcPr>
            <w:tcW w:w="399" w:type="pct"/>
            <w:tcBorders>
              <w:top w:val="nil"/>
              <w:left w:val="nil"/>
              <w:bottom w:val="single" w:sz="4" w:space="0" w:color="auto"/>
              <w:right w:val="nil"/>
            </w:tcBorders>
            <w:noWrap/>
            <w:vAlign w:val="center"/>
            <w:hideMark/>
          </w:tcPr>
          <w:p w:rsidR="00E47068" w:rsidRDefault="00E47068">
            <w:pPr>
              <w:spacing w:after="0" w:line="240" w:lineRule="auto"/>
              <w:ind w:right="113"/>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tc>
        <w:tc>
          <w:tcPr>
            <w:tcW w:w="1200" w:type="pct"/>
            <w:tcBorders>
              <w:top w:val="nil"/>
              <w:left w:val="nil"/>
              <w:bottom w:val="single" w:sz="4" w:space="0" w:color="auto"/>
              <w:right w:val="nil"/>
            </w:tcBorders>
            <w:noWrap/>
            <w:vAlign w:val="center"/>
            <w:hideMark/>
          </w:tcPr>
          <w:p w:rsidR="00E47068" w:rsidRDefault="00E4706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ITALIA</w:t>
            </w:r>
          </w:p>
        </w:tc>
        <w:tc>
          <w:tcPr>
            <w:tcW w:w="907" w:type="pct"/>
            <w:tcBorders>
              <w:top w:val="nil"/>
              <w:left w:val="nil"/>
              <w:bottom w:val="single" w:sz="4" w:space="0" w:color="auto"/>
              <w:right w:val="nil"/>
            </w:tcBorders>
            <w:noWrap/>
            <w:tcMar>
              <w:top w:w="0" w:type="dxa"/>
              <w:left w:w="70" w:type="dxa"/>
              <w:bottom w:w="0" w:type="dxa"/>
              <w:right w:w="794" w:type="dxa"/>
            </w:tcMar>
            <w:vAlign w:val="center"/>
            <w:hideMark/>
          </w:tcPr>
          <w:p w:rsidR="00E47068" w:rsidRDefault="00E470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6,1</w:t>
            </w:r>
          </w:p>
        </w:tc>
      </w:tr>
    </w:tbl>
    <w:p w:rsidR="00E47068" w:rsidRDefault="00E47068" w:rsidP="00E47068">
      <w:pPr>
        <w:spacing w:after="36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Fonte: Unioncamere, Fondazione Symbola, 2019</w:t>
      </w:r>
      <w:bookmarkEnd w:id="1"/>
    </w:p>
    <w:p w:rsidR="00E47068" w:rsidRDefault="00E47068" w:rsidP="00E47068">
      <w:pPr>
        <w:shd w:val="clear" w:color="auto" w:fill="FFFFFF" w:themeFill="background1"/>
        <w:spacing w:after="0"/>
        <w:jc w:val="both"/>
        <w:rPr>
          <w:rFonts w:ascii="Times New Roman" w:eastAsia="Times New Roman" w:hAnsi="Times New Roman" w:cs="Times New Roman"/>
          <w:sz w:val="24"/>
          <w:szCs w:val="24"/>
          <w:lang w:eastAsia="it-IT"/>
        </w:rPr>
      </w:pPr>
      <w:r>
        <w:rPr>
          <w:rFonts w:ascii="Times New Roman" w:hAnsi="Times New Roman" w:cs="Times New Roman"/>
          <w:sz w:val="24"/>
          <w:szCs w:val="24"/>
        </w:rPr>
        <w:t>Quanto alle macroaree geografiche</w:t>
      </w:r>
      <w:r>
        <w:rPr>
          <w:rFonts w:ascii="Times New Roman" w:eastAsia="Times New Roman" w:hAnsi="Times New Roman" w:cs="Times New Roman"/>
          <w:sz w:val="24"/>
          <w:szCs w:val="24"/>
          <w:lang w:eastAsia="it-IT"/>
        </w:rPr>
        <w:t xml:space="preserve">, per il 2018, si confermano i valori delle prime due regioni per creazione di valore aggiunto e occupazione del Sistema Produttivo Culturale e Creativo: la Lombardia (25,4 miliardi di euro di valore aggiunto e 365 mila addetti) e il Lazio (15,5 miliardi di euro e 212 mila addetti), a loro volta “trainate” dai due grandi </w:t>
      </w:r>
      <w:r>
        <w:rPr>
          <w:rFonts w:ascii="Times New Roman" w:eastAsia="Times New Roman" w:hAnsi="Times New Roman" w:cs="Times New Roman"/>
          <w:i/>
          <w:sz w:val="24"/>
          <w:szCs w:val="24"/>
          <w:lang w:eastAsia="it-IT"/>
        </w:rPr>
        <w:t>hub</w:t>
      </w:r>
      <w:r>
        <w:rPr>
          <w:rFonts w:ascii="Times New Roman" w:eastAsia="Times New Roman" w:hAnsi="Times New Roman" w:cs="Times New Roman"/>
          <w:sz w:val="24"/>
          <w:szCs w:val="24"/>
          <w:lang w:eastAsia="it-IT"/>
        </w:rPr>
        <w:t xml:space="preserve"> culturali localizzati nelle aree metropolitane di Milano e Roma, che di queste due regioni rappresentano la prima il 63% di valore aggiunto e il 56% di occupazione del Sistema, e la seconda addirittura il 92% e l’89%.</w:t>
      </w:r>
    </w:p>
    <w:p w:rsidR="00E47068" w:rsidRDefault="00E47068" w:rsidP="00E47068">
      <w:pPr>
        <w:shd w:val="clear" w:color="auto" w:fill="FFFFFF" w:themeFill="background1"/>
        <w:spacing w:after="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Lombardia sperimenta incidenze percentuali sul totale economia (in crescita rispetto al 2018) pari al 7,3% per quanto riguarda il valore aggiunto e 7,5% relativamente all’occupazione. Il Lazio </w:t>
      </w:r>
      <w:r>
        <w:rPr>
          <w:rFonts w:ascii="Times New Roman" w:eastAsia="Times New Roman" w:hAnsi="Times New Roman" w:cs="Times New Roman"/>
          <w:sz w:val="24"/>
          <w:szCs w:val="24"/>
          <w:lang w:eastAsia="it-IT"/>
        </w:rPr>
        <w:lastRenderedPageBreak/>
        <w:t>mostra un maggior accento sul valore aggiunto, che incide per l’8,8% della ricchezza complessivamente prodotta su scala regionale; l’occupazione incide meno (il 7,7%), ma più di quanto registrato nelle altre regioni italiane.</w:t>
      </w:r>
    </w:p>
    <w:p w:rsidR="00E47068" w:rsidRDefault="00E47068" w:rsidP="00E47068">
      <w:pPr>
        <w:shd w:val="clear" w:color="auto" w:fill="FFFFFF" w:themeFill="background1"/>
        <w:spacing w:after="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seguire, la Valle d’Aosta (7,1% sul valore aggiunto e 7,3% sull’occupazione), il Piemonte (7,1% e 6,9%) e le Marche (6,0% e 6,4%), che ancora subiscono probabilmente effetti collegati al sisma. Fra le regioni del Nord, la Liguria registra nuovamente valori più bassi rispetto alla media di ripartizione, ma in miglioramento rispetto al 2017: del 3,9% sul valore aggiunto e del 4,5% sull’occupazione.</w:t>
      </w:r>
    </w:p>
    <w:p w:rsidR="00E47068" w:rsidRDefault="00E47068" w:rsidP="00E47068">
      <w:pPr>
        <w:pStyle w:val="NormaleWeb"/>
        <w:shd w:val="clear" w:color="auto" w:fill="FFFFFF"/>
        <w:spacing w:before="0" w:beforeAutospacing="0" w:after="0" w:afterAutospacing="0"/>
        <w:jc w:val="both"/>
      </w:pPr>
      <w:r>
        <w:t>In linea con quanto osservabile per l’intera economia, si conferma una forbice tra Nord e Sud, a dimostrazione di una evidente correlazione fra ricchezza complessiva, specializzazione culturale e creatività delle economie territoriali.</w:t>
      </w:r>
    </w:p>
    <w:p w:rsidR="00E47068" w:rsidRDefault="00E47068" w:rsidP="00E47068">
      <w:pPr>
        <w:pStyle w:val="NormaleWeb"/>
        <w:shd w:val="clear" w:color="auto" w:fill="FFFFFF"/>
        <w:spacing w:before="0" w:beforeAutospacing="0" w:after="0" w:afterAutospacing="0"/>
        <w:jc w:val="both"/>
      </w:pPr>
    </w:p>
    <w:p w:rsidR="00E47068" w:rsidRDefault="00E47068" w:rsidP="00E47068">
      <w:pPr>
        <w:pStyle w:val="NormaleWeb"/>
        <w:shd w:val="clear" w:color="auto" w:fill="FFFFFF"/>
        <w:spacing w:before="0" w:beforeAutospacing="0" w:after="0" w:afterAutospacing="0"/>
      </w:pPr>
      <w:r>
        <w:rPr>
          <w:b/>
          <w:bCs/>
        </w:rPr>
        <w:t>Ripartizione regionale di valore aggiunto e occupazione nel Sistema Produttivo Culturale e Creativo  - Anno 2018 (</w:t>
      </w:r>
      <w:r>
        <w:rPr>
          <w:b/>
          <w:bCs/>
          <w:i/>
        </w:rPr>
        <w:t>quote percentuali sul totale economia</w:t>
      </w:r>
      <w:r>
        <w:rPr>
          <w:b/>
          <w:bCs/>
        </w:rPr>
        <w:t>)</w:t>
      </w:r>
    </w:p>
    <w:p w:rsidR="00E47068" w:rsidRDefault="00E47068" w:rsidP="00E47068">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886075" cy="365760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8352"/>
                    <a:stretch>
                      <a:fillRect/>
                    </a:stretch>
                  </pic:blipFill>
                  <pic:spPr bwMode="auto">
                    <a:xfrm>
                      <a:off x="0" y="0"/>
                      <a:ext cx="2886075" cy="3657600"/>
                    </a:xfrm>
                    <a:prstGeom prst="rect">
                      <a:avLst/>
                    </a:prstGeom>
                    <a:noFill/>
                    <a:ln>
                      <a:noFill/>
                    </a:ln>
                  </pic:spPr>
                </pic:pic>
              </a:graphicData>
            </a:graphic>
          </wp:inline>
        </w:drawing>
      </w:r>
      <w:r>
        <w:rPr>
          <w:rFonts w:ascii="Times New Roman" w:eastAsia="Times New Roman" w:hAnsi="Times New Roman" w:cs="Times New Roman"/>
          <w:noProof/>
          <w:sz w:val="24"/>
          <w:szCs w:val="24"/>
          <w:lang w:eastAsia="it-IT"/>
        </w:rPr>
        <w:drawing>
          <wp:inline distT="0" distB="0" distL="0" distR="0">
            <wp:extent cx="2733675" cy="36861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1437"/>
                    <a:stretch>
                      <a:fillRect/>
                    </a:stretch>
                  </pic:blipFill>
                  <pic:spPr bwMode="auto">
                    <a:xfrm>
                      <a:off x="0" y="0"/>
                      <a:ext cx="2733675" cy="3686175"/>
                    </a:xfrm>
                    <a:prstGeom prst="rect">
                      <a:avLst/>
                    </a:prstGeom>
                    <a:noFill/>
                    <a:ln>
                      <a:noFill/>
                    </a:ln>
                  </pic:spPr>
                </pic:pic>
              </a:graphicData>
            </a:graphic>
          </wp:inline>
        </w:drawing>
      </w:r>
    </w:p>
    <w:p w:rsidR="00E47068" w:rsidRDefault="00E47068" w:rsidP="00E47068">
      <w:pPr>
        <w:spacing w:after="36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Fonte: Unioncamere, Fondazione Symbola, 2019</w:t>
      </w:r>
    </w:p>
    <w:p w:rsidR="00A73FC3" w:rsidRDefault="00A73FC3" w:rsidP="00A73FC3">
      <w:pPr>
        <w:spacing w:after="0"/>
        <w:rPr>
          <w:rFonts w:ascii="Times New Roman" w:eastAsia="Times New Roman" w:hAnsi="Times New Roman" w:cs="Times New Roman"/>
          <w:b/>
          <w:bCs/>
          <w:sz w:val="24"/>
          <w:szCs w:val="24"/>
          <w:lang w:eastAsia="it-IT"/>
        </w:rPr>
      </w:pPr>
    </w:p>
    <w:p w:rsidR="00A73FC3" w:rsidRDefault="00A73FC3" w:rsidP="00A73FC3">
      <w:pPr>
        <w:pStyle w:val="NormaleWeb"/>
        <w:shd w:val="clear" w:color="auto" w:fill="FFFFFF"/>
        <w:spacing w:before="0" w:beforeAutospacing="0" w:after="0" w:afterAutospacing="0"/>
        <w:jc w:val="both"/>
      </w:pPr>
    </w:p>
    <w:p w:rsidR="00A73FC3" w:rsidRDefault="00A73FC3" w:rsidP="00A73FC3">
      <w:pPr>
        <w:rPr>
          <w:rFonts w:ascii="Times New Roman" w:hAnsi="Times New Roman" w:cs="Times New Roman"/>
          <w:sz w:val="24"/>
          <w:szCs w:val="24"/>
        </w:rPr>
      </w:pPr>
    </w:p>
    <w:p w:rsidR="00A73FC3" w:rsidRDefault="00A73FC3" w:rsidP="00A73FC3"/>
    <w:p w:rsidR="002D7428" w:rsidRDefault="002D7428"/>
    <w:sectPr w:rsidR="002D7428" w:rsidSect="002D104C">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C8" w:rsidRDefault="002124C8" w:rsidP="001F61C1">
      <w:pPr>
        <w:spacing w:after="0" w:line="240" w:lineRule="auto"/>
      </w:pPr>
      <w:r>
        <w:separator/>
      </w:r>
    </w:p>
  </w:endnote>
  <w:endnote w:type="continuationSeparator" w:id="0">
    <w:p w:rsidR="002124C8" w:rsidRDefault="002124C8" w:rsidP="001F6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C1" w:rsidRDefault="001F61C1">
    <w:pPr>
      <w:pStyle w:val="Pidipagina"/>
    </w:pPr>
  </w:p>
  <w:p w:rsidR="001F61C1" w:rsidRDefault="002D104C">
    <w:pPr>
      <w:pStyle w:val="Pidipagina"/>
    </w:pPr>
    <w:r>
      <w:rPr>
        <w:noProof/>
        <w:lang w:eastAsia="it-IT"/>
      </w:rPr>
      <w:pict>
        <v:line id="Connettore diritto 3" o:spid="_x0000_s6145" style="position:absolute;z-index:251659264;visibility:visible" from=".4pt,8.35pt" to="470.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" strokecolor="black [3213]" strokeweight=".5pt">
          <v:stroke joinstyle="miter"/>
        </v:line>
      </w:pict>
    </w:r>
  </w:p>
  <w:p w:rsidR="001F61C1" w:rsidRDefault="001F61C1" w:rsidP="001F61C1">
    <w:pPr>
      <w:pStyle w:val="Pidipagina"/>
      <w:jc w:val="center"/>
    </w:pPr>
    <w:r>
      <w:rPr>
        <w:noProof/>
        <w:lang w:eastAsia="it-IT"/>
      </w:rPr>
      <w:drawing>
        <wp:inline distT="0" distB="0" distL="0" distR="0">
          <wp:extent cx="6000750" cy="592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 bassi Io sono cultura 2019.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86479" cy="60101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C8" w:rsidRDefault="002124C8" w:rsidP="001F61C1">
      <w:pPr>
        <w:spacing w:after="0" w:line="240" w:lineRule="auto"/>
      </w:pPr>
      <w:r>
        <w:separator/>
      </w:r>
    </w:p>
  </w:footnote>
  <w:footnote w:type="continuationSeparator" w:id="0">
    <w:p w:rsidR="002124C8" w:rsidRDefault="002124C8" w:rsidP="001F61C1">
      <w:pPr>
        <w:spacing w:after="0" w:line="240" w:lineRule="auto"/>
      </w:pPr>
      <w:r>
        <w:continuationSeparator/>
      </w:r>
    </w:p>
  </w:footnote>
  <w:footnote w:id="1">
    <w:p w:rsidR="00E47068" w:rsidRDefault="00E47068" w:rsidP="00E47068">
      <w:pPr>
        <w:pStyle w:val="Testocommento"/>
      </w:pPr>
      <w:r>
        <w:rPr>
          <w:rStyle w:val="Rimandonotaapidipagina"/>
          <w:lang w:val="it-IT"/>
        </w:rPr>
        <w:t>2</w:t>
      </w:r>
      <w:r>
        <w:t xml:space="preserve"> </w:t>
      </w:r>
      <w:r>
        <w:rPr>
          <w:rFonts w:cs="Calibri"/>
          <w:sz w:val="18"/>
          <w:szCs w:val="18"/>
        </w:rPr>
        <w:t xml:space="preserve">Le arti visive sono ricomprese in questo dato, seppur </w:t>
      </w:r>
      <w:r>
        <w:rPr>
          <w:rFonts w:cs="Calibri"/>
          <w:sz w:val="18"/>
          <w:szCs w:val="18"/>
          <w:lang w:val="it-IT"/>
        </w:rPr>
        <w:t xml:space="preserve">ne </w:t>
      </w:r>
      <w:r>
        <w:rPr>
          <w:rFonts w:cs="Calibri"/>
          <w:sz w:val="18"/>
          <w:szCs w:val="18"/>
        </w:rPr>
        <w:t>appresentano una parte residuale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C1" w:rsidRDefault="003759CD" w:rsidP="001F61C1">
    <w:pPr>
      <w:pStyle w:val="Intestazione"/>
      <w:jc w:val="center"/>
    </w:pPr>
    <w:r>
      <w:rPr>
        <w:noProof/>
        <w:lang w:eastAsia="it-IT"/>
      </w:rPr>
      <w:drawing>
        <wp:inline distT="0" distB="0" distL="0" distR="0">
          <wp:extent cx="5969230" cy="51574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hi alti Io sono cultura 2019.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00617" cy="561654"/>
                  </a:xfrm>
                  <a:prstGeom prst="rect">
                    <a:avLst/>
                  </a:prstGeom>
                </pic:spPr>
              </pic:pic>
            </a:graphicData>
          </a:graphic>
        </wp:inline>
      </w:drawing>
    </w:r>
  </w:p>
  <w:p w:rsidR="001F61C1" w:rsidRDefault="001F61C1">
    <w:pPr>
      <w:pStyle w:val="Intestazione"/>
    </w:pPr>
  </w:p>
  <w:p w:rsidR="003759CD" w:rsidRDefault="003759CD">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7E6D4E"/>
    <w:rsid w:val="000108A2"/>
    <w:rsid w:val="0006250A"/>
    <w:rsid w:val="000C11BA"/>
    <w:rsid w:val="000D3DDF"/>
    <w:rsid w:val="001331BF"/>
    <w:rsid w:val="001A3FD1"/>
    <w:rsid w:val="001D20EC"/>
    <w:rsid w:val="001F61C1"/>
    <w:rsid w:val="002124C8"/>
    <w:rsid w:val="0023766A"/>
    <w:rsid w:val="002B265F"/>
    <w:rsid w:val="002D104C"/>
    <w:rsid w:val="002D7428"/>
    <w:rsid w:val="00341938"/>
    <w:rsid w:val="00371203"/>
    <w:rsid w:val="003759CD"/>
    <w:rsid w:val="003C45B0"/>
    <w:rsid w:val="003F3711"/>
    <w:rsid w:val="004F0783"/>
    <w:rsid w:val="00582108"/>
    <w:rsid w:val="005A151B"/>
    <w:rsid w:val="005D5369"/>
    <w:rsid w:val="005E4691"/>
    <w:rsid w:val="00622A7B"/>
    <w:rsid w:val="006338B0"/>
    <w:rsid w:val="00680C76"/>
    <w:rsid w:val="006D5A83"/>
    <w:rsid w:val="0071739B"/>
    <w:rsid w:val="00746842"/>
    <w:rsid w:val="00787EF5"/>
    <w:rsid w:val="007E6D4E"/>
    <w:rsid w:val="00831700"/>
    <w:rsid w:val="00990A11"/>
    <w:rsid w:val="009C0B40"/>
    <w:rsid w:val="009E6CA3"/>
    <w:rsid w:val="009F3248"/>
    <w:rsid w:val="00A55FAF"/>
    <w:rsid w:val="00A73FC3"/>
    <w:rsid w:val="00A87AE8"/>
    <w:rsid w:val="00AE3B70"/>
    <w:rsid w:val="00B43C03"/>
    <w:rsid w:val="00C4367B"/>
    <w:rsid w:val="00CB0E1F"/>
    <w:rsid w:val="00CE3783"/>
    <w:rsid w:val="00DA7EA7"/>
    <w:rsid w:val="00E47068"/>
    <w:rsid w:val="00E531AA"/>
    <w:rsid w:val="00E75F71"/>
    <w:rsid w:val="00EB27C7"/>
    <w:rsid w:val="00EB67E2"/>
    <w:rsid w:val="00ED3D68"/>
    <w:rsid w:val="00F70F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FC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61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1C1"/>
  </w:style>
  <w:style w:type="paragraph" w:styleId="Pidipagina">
    <w:name w:val="footer"/>
    <w:basedOn w:val="Normale"/>
    <w:link w:val="PidipaginaCarattere"/>
    <w:uiPriority w:val="99"/>
    <w:unhideWhenUsed/>
    <w:rsid w:val="001F61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1C1"/>
  </w:style>
  <w:style w:type="paragraph" w:styleId="NormaleWeb">
    <w:name w:val="Normal (Web)"/>
    <w:basedOn w:val="Normale"/>
    <w:uiPriority w:val="99"/>
    <w:unhideWhenUsed/>
    <w:rsid w:val="00A73F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A73FC3"/>
    <w:rPr>
      <w:rFonts w:ascii="Calibri" w:eastAsia="Calibri" w:hAnsi="Calibri" w:cs="Times New Roman"/>
      <w:sz w:val="20"/>
      <w:szCs w:val="20"/>
      <w:lang/>
    </w:rPr>
  </w:style>
  <w:style w:type="character" w:customStyle="1" w:styleId="TestocommentoCarattere">
    <w:name w:val="Testo commento Carattere"/>
    <w:basedOn w:val="Carpredefinitoparagrafo"/>
    <w:link w:val="Testocommento"/>
    <w:uiPriority w:val="99"/>
    <w:semiHidden/>
    <w:rsid w:val="00A73FC3"/>
    <w:rPr>
      <w:rFonts w:ascii="Calibri" w:eastAsia="Calibri" w:hAnsi="Calibri" w:cs="Times New Roman"/>
      <w:sz w:val="20"/>
      <w:szCs w:val="20"/>
      <w:lang/>
    </w:rPr>
  </w:style>
  <w:style w:type="character" w:styleId="Rimandonotaapidipagina">
    <w:name w:val="footnote reference"/>
    <w:aliases w:val="Footnote number,nota a piè di pagina,FR + (Complex) Arial,(Latin) 9 pt,(Complex) 10 pt + (Compl...,Footnote symbol"/>
    <w:uiPriority w:val="99"/>
    <w:semiHidden/>
    <w:unhideWhenUsed/>
    <w:rsid w:val="00A73FC3"/>
    <w:rPr>
      <w:vertAlign w:val="superscript"/>
    </w:rPr>
  </w:style>
  <w:style w:type="character" w:styleId="Enfasigrassetto">
    <w:name w:val="Strong"/>
    <w:basedOn w:val="Carpredefinitoparagrafo"/>
    <w:uiPriority w:val="22"/>
    <w:qFormat/>
    <w:rsid w:val="00A73FC3"/>
    <w:rPr>
      <w:b/>
      <w:bCs/>
    </w:rPr>
  </w:style>
  <w:style w:type="paragraph" w:styleId="Testofumetto">
    <w:name w:val="Balloon Text"/>
    <w:basedOn w:val="Normale"/>
    <w:link w:val="TestofumettoCarattere"/>
    <w:uiPriority w:val="99"/>
    <w:semiHidden/>
    <w:unhideWhenUsed/>
    <w:rsid w:val="00EB67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7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FC3"/>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61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1C1"/>
  </w:style>
  <w:style w:type="paragraph" w:styleId="Pidipagina">
    <w:name w:val="footer"/>
    <w:basedOn w:val="Normale"/>
    <w:link w:val="PidipaginaCarattere"/>
    <w:uiPriority w:val="99"/>
    <w:unhideWhenUsed/>
    <w:rsid w:val="001F61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1C1"/>
  </w:style>
  <w:style w:type="paragraph" w:styleId="NormaleWeb">
    <w:name w:val="Normal (Web)"/>
    <w:basedOn w:val="Normale"/>
    <w:uiPriority w:val="99"/>
    <w:unhideWhenUsed/>
    <w:rsid w:val="00A73F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rsid w:val="00A73FC3"/>
    <w:rPr>
      <w:rFonts w:ascii="Calibri" w:eastAsia="Calibri" w:hAnsi="Calibri" w:cs="Times New Roman"/>
      <w:sz w:val="20"/>
      <w:szCs w:val="20"/>
      <w:lang w:val="x-none"/>
    </w:rPr>
  </w:style>
  <w:style w:type="character" w:customStyle="1" w:styleId="TestocommentoCarattere">
    <w:name w:val="Testo commento Carattere"/>
    <w:basedOn w:val="Carpredefinitoparagrafo"/>
    <w:link w:val="Testocommento"/>
    <w:uiPriority w:val="99"/>
    <w:semiHidden/>
    <w:rsid w:val="00A73FC3"/>
    <w:rPr>
      <w:rFonts w:ascii="Calibri" w:eastAsia="Calibri" w:hAnsi="Calibri" w:cs="Times New Roman"/>
      <w:sz w:val="20"/>
      <w:szCs w:val="20"/>
      <w:lang w:val="x-none"/>
    </w:rPr>
  </w:style>
  <w:style w:type="character" w:styleId="Rimandonotaapidipagina">
    <w:name w:val="footnote reference"/>
    <w:aliases w:val="Footnote number,nota a piè di pagina,FR + (Complex) Arial,(Latin) 9 pt,(Complex) 10 pt + (Compl...,Footnote symbol"/>
    <w:uiPriority w:val="99"/>
    <w:semiHidden/>
    <w:unhideWhenUsed/>
    <w:rsid w:val="00A73FC3"/>
    <w:rPr>
      <w:vertAlign w:val="superscript"/>
    </w:rPr>
  </w:style>
  <w:style w:type="character" w:styleId="Enfasigrassetto">
    <w:name w:val="Strong"/>
    <w:basedOn w:val="Carpredefinitoparagrafo"/>
    <w:uiPriority w:val="22"/>
    <w:qFormat/>
    <w:rsid w:val="00A73FC3"/>
    <w:rPr>
      <w:b/>
      <w:bCs/>
    </w:rPr>
  </w:style>
  <w:style w:type="paragraph" w:styleId="Testofumetto">
    <w:name w:val="Balloon Text"/>
    <w:basedOn w:val="Normale"/>
    <w:link w:val="TestofumettoCarattere"/>
    <w:uiPriority w:val="99"/>
    <w:semiHidden/>
    <w:unhideWhenUsed/>
    <w:rsid w:val="00EB67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7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1026734">
      <w:bodyDiv w:val="1"/>
      <w:marLeft w:val="0"/>
      <w:marRight w:val="0"/>
      <w:marTop w:val="0"/>
      <w:marBottom w:val="0"/>
      <w:divBdr>
        <w:top w:val="none" w:sz="0" w:space="0" w:color="auto"/>
        <w:left w:val="none" w:sz="0" w:space="0" w:color="auto"/>
        <w:bottom w:val="none" w:sz="0" w:space="0" w:color="auto"/>
        <w:right w:val="none" w:sz="0" w:space="0" w:color="auto"/>
      </w:divBdr>
    </w:div>
    <w:div w:id="981691704">
      <w:bodyDiv w:val="1"/>
      <w:marLeft w:val="0"/>
      <w:marRight w:val="0"/>
      <w:marTop w:val="0"/>
      <w:marBottom w:val="0"/>
      <w:divBdr>
        <w:top w:val="none" w:sz="0" w:space="0" w:color="auto"/>
        <w:left w:val="none" w:sz="0" w:space="0" w:color="auto"/>
        <w:bottom w:val="none" w:sz="0" w:space="0" w:color="auto"/>
        <w:right w:val="none" w:sz="0" w:space="0" w:color="auto"/>
      </w:divBdr>
    </w:div>
    <w:div w:id="18864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2421</Words>
  <Characters>13803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Forcella</dc:creator>
  <cp:lastModifiedBy>simona.paronetto</cp:lastModifiedBy>
  <cp:revision>2</cp:revision>
  <cp:lastPrinted>2019-06-19T07:33:00Z</cp:lastPrinted>
  <dcterms:created xsi:type="dcterms:W3CDTF">2019-06-20T09:06:00Z</dcterms:created>
  <dcterms:modified xsi:type="dcterms:W3CDTF">2019-06-20T09:06:00Z</dcterms:modified>
</cp:coreProperties>
</file>