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bookmarkStart w:id="0" w:name="_GoBack"/>
      <w:bookmarkEnd w:id="0"/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:rsidR="00FE7E09" w:rsidRDefault="00667FF4" w:rsidP="00FE7E0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7FF4">
        <w:rPr>
          <w:rFonts w:asciiTheme="minorHAnsi" w:hAnsiTheme="minorHAnsi" w:cstheme="minorHAnsi"/>
          <w:b/>
          <w:sz w:val="32"/>
          <w:szCs w:val="32"/>
        </w:rPr>
        <w:t>Prezzi all’ingrosso</w:t>
      </w:r>
      <w:r w:rsidR="00FE7E09">
        <w:rPr>
          <w:rFonts w:asciiTheme="minorHAnsi" w:hAnsiTheme="minorHAnsi" w:cstheme="minorHAnsi"/>
          <w:b/>
          <w:sz w:val="32"/>
          <w:szCs w:val="32"/>
        </w:rPr>
        <w:t xml:space="preserve">: gli italiani non rinunciano al Natale </w:t>
      </w:r>
    </w:p>
    <w:p w:rsidR="00BF0D54" w:rsidRDefault="00FE7E09" w:rsidP="00FE7E0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ma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 xml:space="preserve"> scelgono prodotti a basso costo</w:t>
      </w:r>
    </w:p>
    <w:p w:rsidR="00D22EBA" w:rsidRDefault="00D22EBA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1491F" w:rsidRDefault="00BC76D4" w:rsidP="00E1491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Roma </w:t>
      </w:r>
      <w:r w:rsidR="008F166A">
        <w:rPr>
          <w:rFonts w:asciiTheme="minorHAnsi" w:hAnsiTheme="minorHAnsi" w:cstheme="minorHAnsi"/>
          <w:b/>
          <w:sz w:val="22"/>
          <w:szCs w:val="22"/>
        </w:rPr>
        <w:t xml:space="preserve">23 </w:t>
      </w:r>
      <w:r w:rsidR="00AE6432">
        <w:rPr>
          <w:rFonts w:asciiTheme="minorHAnsi" w:hAnsiTheme="minorHAnsi" w:cstheme="minorHAnsi"/>
          <w:b/>
          <w:sz w:val="22"/>
          <w:szCs w:val="22"/>
        </w:rPr>
        <w:t>dicembre</w:t>
      </w:r>
      <w:r w:rsidR="001C2EE7" w:rsidRPr="001C2EE7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1C2EE7">
        <w:rPr>
          <w:rFonts w:asciiTheme="minorHAnsi" w:hAnsiTheme="minorHAnsi" w:cstheme="minorHAnsi"/>
          <w:sz w:val="22"/>
          <w:szCs w:val="22"/>
        </w:rPr>
        <w:t xml:space="preserve"> –</w:t>
      </w:r>
      <w:r w:rsidR="00FE7E0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3390384"/>
      <w:r w:rsidR="00E1491F">
        <w:rPr>
          <w:rFonts w:asciiTheme="minorHAnsi" w:hAnsiTheme="minorHAnsi" w:cstheme="minorHAnsi"/>
          <w:sz w:val="22"/>
          <w:szCs w:val="22"/>
        </w:rPr>
        <w:t xml:space="preserve">Sarà un Natale di tavole imbandite ma con un occhio attento a far quadrare i conti di fine mese. A mostrarlo è l’indice </w:t>
      </w:r>
      <w:r w:rsidR="00E1491F" w:rsidRPr="00667FF4">
        <w:rPr>
          <w:rFonts w:asciiTheme="minorHAnsi" w:hAnsiTheme="minorHAnsi" w:cstheme="minorHAnsi"/>
          <w:sz w:val="22"/>
          <w:szCs w:val="22"/>
        </w:rPr>
        <w:t xml:space="preserve">mensile elaborato da </w:t>
      </w:r>
      <w:r w:rsidR="00E1491F" w:rsidRPr="00667FF4">
        <w:rPr>
          <w:rFonts w:asciiTheme="minorHAnsi" w:hAnsiTheme="minorHAnsi" w:cstheme="minorHAnsi"/>
          <w:b/>
          <w:bCs/>
          <w:sz w:val="22"/>
          <w:szCs w:val="22"/>
        </w:rPr>
        <w:t>Unioncamere</w:t>
      </w:r>
      <w:r w:rsidR="00E1491F" w:rsidRPr="00667FF4">
        <w:rPr>
          <w:rFonts w:asciiTheme="minorHAnsi" w:hAnsiTheme="minorHAnsi" w:cstheme="minorHAnsi"/>
          <w:sz w:val="22"/>
          <w:szCs w:val="22"/>
        </w:rPr>
        <w:t xml:space="preserve"> e </w:t>
      </w:r>
      <w:r w:rsidR="00E1491F" w:rsidRPr="00667FF4">
        <w:rPr>
          <w:rFonts w:asciiTheme="minorHAnsi" w:hAnsiTheme="minorHAnsi" w:cstheme="minorHAnsi"/>
          <w:b/>
          <w:bCs/>
          <w:sz w:val="22"/>
          <w:szCs w:val="22"/>
        </w:rPr>
        <w:t>BMTI</w:t>
      </w:r>
      <w:r w:rsidR="00E1491F" w:rsidRPr="00667FF4">
        <w:rPr>
          <w:rFonts w:asciiTheme="minorHAnsi" w:hAnsiTheme="minorHAnsi" w:cstheme="minorHAnsi"/>
          <w:sz w:val="22"/>
          <w:szCs w:val="22"/>
        </w:rPr>
        <w:t xml:space="preserve"> a partire dai prezzi rilevati dalle Camere di commercio e dai Mercati all’ingrosso</w:t>
      </w:r>
      <w:r w:rsidR="00E1491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491F" w:rsidRDefault="00E1491F" w:rsidP="00E1491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tendenza al risparmio emerge con chiarezza dall’andamento dei prezzi all’ingrosso di alcuni prodotti molto diffusi durante le festività, come i vini e gli spumanti. Se infatti</w:t>
      </w:r>
      <w:r w:rsidR="00D05E48">
        <w:rPr>
          <w:rFonts w:asciiTheme="minorHAnsi" w:hAnsiTheme="minorHAnsi" w:cstheme="minorHAnsi"/>
          <w:sz w:val="22"/>
          <w:szCs w:val="22"/>
        </w:rPr>
        <w:t>, nonostante l’avvicinarsi delle festività natalizie,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32C6">
        <w:rPr>
          <w:rFonts w:asciiTheme="minorHAnsi" w:hAnsiTheme="minorHAnsi" w:cstheme="minorHAnsi"/>
          <w:sz w:val="22"/>
          <w:szCs w:val="22"/>
        </w:rPr>
        <w:t xml:space="preserve">a Novembre </w:t>
      </w:r>
      <w:r>
        <w:rPr>
          <w:rFonts w:asciiTheme="minorHAnsi" w:hAnsiTheme="minorHAnsi" w:cstheme="minorHAnsi"/>
          <w:sz w:val="22"/>
          <w:szCs w:val="22"/>
        </w:rPr>
        <w:t xml:space="preserve">si mantiene stabile </w:t>
      </w:r>
      <w:r w:rsidRPr="00667FF4">
        <w:rPr>
          <w:rFonts w:asciiTheme="minorHAnsi" w:hAnsiTheme="minorHAnsi" w:cstheme="minorHAnsi"/>
          <w:sz w:val="22"/>
          <w:szCs w:val="22"/>
        </w:rPr>
        <w:t xml:space="preserve">il mercato dei </w:t>
      </w:r>
      <w:r w:rsidRPr="00AE6432">
        <w:rPr>
          <w:rFonts w:asciiTheme="minorHAnsi" w:hAnsiTheme="minorHAnsi" w:cstheme="minorHAnsi"/>
          <w:b/>
          <w:sz w:val="22"/>
          <w:szCs w:val="22"/>
        </w:rPr>
        <w:t>vini sfusi</w:t>
      </w:r>
      <w:r>
        <w:rPr>
          <w:rFonts w:asciiTheme="minorHAnsi" w:hAnsiTheme="minorHAnsi" w:cstheme="minorHAnsi"/>
          <w:sz w:val="22"/>
          <w:szCs w:val="22"/>
        </w:rPr>
        <w:t xml:space="preserve">, che rispetto allo scorso anno, per effetto delle chiusure della ristorazione e la frenata delle vendite oltre confine, sconta un ribasso del 5%, non va così per i </w:t>
      </w:r>
      <w:r w:rsidRPr="00AE6432">
        <w:rPr>
          <w:rFonts w:asciiTheme="minorHAnsi" w:hAnsiTheme="minorHAnsi" w:cstheme="minorHAnsi"/>
          <w:b/>
          <w:sz w:val="22"/>
          <w:szCs w:val="22"/>
        </w:rPr>
        <w:t>DOP-IGP bianchi</w:t>
      </w:r>
      <w:r w:rsidRPr="00667FF4">
        <w:rPr>
          <w:rFonts w:asciiTheme="minorHAnsi" w:hAnsiTheme="minorHAnsi" w:cstheme="minorHAnsi"/>
          <w:sz w:val="22"/>
          <w:szCs w:val="22"/>
        </w:rPr>
        <w:t xml:space="preserve"> di fascia bassa (</w:t>
      </w:r>
      <w:r>
        <w:rPr>
          <w:rFonts w:asciiTheme="minorHAnsi" w:hAnsiTheme="minorHAnsi" w:cstheme="minorHAnsi"/>
          <w:sz w:val="22"/>
          <w:szCs w:val="22"/>
        </w:rPr>
        <w:t xml:space="preserve">in aumento del </w:t>
      </w:r>
      <w:r w:rsidRPr="00667FF4">
        <w:rPr>
          <w:rFonts w:asciiTheme="minorHAnsi" w:hAnsiTheme="minorHAnsi" w:cstheme="minorHAnsi"/>
          <w:sz w:val="22"/>
          <w:szCs w:val="22"/>
        </w:rPr>
        <w:t>+1,6% rispetto a Ottobre</w:t>
      </w:r>
      <w:r>
        <w:rPr>
          <w:rFonts w:asciiTheme="minorHAnsi" w:hAnsiTheme="minorHAnsi" w:cstheme="minorHAnsi"/>
          <w:sz w:val="22"/>
          <w:szCs w:val="22"/>
        </w:rPr>
        <w:t>) e</w:t>
      </w:r>
      <w:r w:rsidRPr="00667FF4">
        <w:rPr>
          <w:rFonts w:asciiTheme="minorHAnsi" w:hAnsiTheme="minorHAnsi" w:cstheme="minorHAnsi"/>
          <w:sz w:val="22"/>
          <w:szCs w:val="22"/>
        </w:rPr>
        <w:t xml:space="preserve"> per i </w:t>
      </w:r>
      <w:r w:rsidRPr="00AE6432">
        <w:rPr>
          <w:rFonts w:asciiTheme="minorHAnsi" w:hAnsiTheme="minorHAnsi" w:cstheme="minorHAnsi"/>
          <w:b/>
          <w:sz w:val="22"/>
          <w:szCs w:val="22"/>
        </w:rPr>
        <w:t>vini spumanti</w:t>
      </w:r>
      <w:r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AE6432">
        <w:rPr>
          <w:rFonts w:asciiTheme="minorHAnsi" w:hAnsiTheme="minorHAnsi" w:cstheme="minorHAnsi"/>
          <w:b/>
          <w:sz w:val="22"/>
          <w:szCs w:val="22"/>
        </w:rPr>
        <w:t>frizzanti</w:t>
      </w:r>
      <w:r w:rsidRPr="00667FF4">
        <w:rPr>
          <w:rFonts w:asciiTheme="minorHAnsi" w:hAnsiTheme="minorHAnsi" w:cstheme="minorHAnsi"/>
          <w:sz w:val="22"/>
          <w:szCs w:val="22"/>
        </w:rPr>
        <w:t xml:space="preserve"> (+0,7%) che, tuttavia, rimangono in calo del 2,9 rispetto </w:t>
      </w:r>
      <w:r>
        <w:rPr>
          <w:rFonts w:asciiTheme="minorHAnsi" w:hAnsiTheme="minorHAnsi" w:cstheme="minorHAnsi"/>
          <w:sz w:val="22"/>
          <w:szCs w:val="22"/>
        </w:rPr>
        <w:t>al 2019</w:t>
      </w:r>
      <w:r w:rsidRPr="00667FF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491F" w:rsidRPr="00667FF4" w:rsidRDefault="00E1491F" w:rsidP="00E1491F">
      <w:pPr>
        <w:tabs>
          <w:tab w:val="left" w:pos="3675"/>
        </w:tabs>
        <w:spacing w:after="1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Tra le carni bovine,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tagli anteriori delle </w:t>
      </w:r>
      <w:r w:rsidRPr="009F62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carni di vitellone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di minor pregio, hanno registrato un aumento del 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>2,8%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mentre 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prezzi dei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tagli posteriori,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mediamente più costosi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continuano a rimanere stabili 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anche a causa delle chiusure nel canale Ho.re.ca. Difficoltà che hanno </w:t>
      </w:r>
      <w:proofErr w:type="gramStart"/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>condizionato</w:t>
      </w:r>
      <w:proofErr w:type="gramEnd"/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anche il mercato della </w:t>
      </w:r>
      <w:r w:rsidRPr="00D22EB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carne di vitello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cui valori rimangono più bassi di quasi il 20% rispetto ad un anno fa.</w:t>
      </w:r>
    </w:p>
    <w:p w:rsidR="00E1491F" w:rsidRDefault="00E1491F" w:rsidP="00E1491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Parsimonia sì, quindi, ma ad alcune specialità del made in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Italy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gli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italiani non rinunciano proprio. E’ il caso del </w:t>
      </w:r>
      <w:r w:rsidRPr="00AE6432">
        <w:rPr>
          <w:rFonts w:asciiTheme="minorHAnsi" w:hAnsiTheme="minorHAnsi" w:cstheme="minorHAnsi"/>
          <w:b/>
          <w:sz w:val="22"/>
          <w:szCs w:val="22"/>
        </w:rPr>
        <w:t>Grana Padano</w:t>
      </w:r>
      <w:r w:rsidRPr="00667FF4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 w:rsidRPr="00AE6432">
        <w:rPr>
          <w:rFonts w:asciiTheme="minorHAnsi" w:hAnsiTheme="minorHAnsi" w:cstheme="minorHAnsi"/>
          <w:b/>
          <w:sz w:val="22"/>
          <w:szCs w:val="22"/>
        </w:rPr>
        <w:t>Parmigiano Reggiano</w:t>
      </w:r>
      <w:r w:rsidRPr="00340B1C">
        <w:rPr>
          <w:rFonts w:asciiTheme="minorHAnsi" w:hAnsiTheme="minorHAnsi" w:cstheme="minorHAnsi"/>
          <w:sz w:val="22"/>
          <w:szCs w:val="22"/>
        </w:rPr>
        <w:t>, che</w:t>
      </w:r>
      <w:r w:rsidRPr="00667FF4">
        <w:rPr>
          <w:rFonts w:asciiTheme="minorHAnsi" w:hAnsiTheme="minorHAnsi" w:cstheme="minorHAnsi"/>
          <w:sz w:val="22"/>
          <w:szCs w:val="22"/>
        </w:rPr>
        <w:t xml:space="preserve"> chiudono il 2020 in rialzo grazie </w:t>
      </w:r>
      <w:r>
        <w:rPr>
          <w:rFonts w:asciiTheme="minorHAnsi" w:hAnsiTheme="minorHAnsi" w:cstheme="minorHAnsi"/>
          <w:sz w:val="22"/>
          <w:szCs w:val="22"/>
        </w:rPr>
        <w:t>al buon andamento della</w:t>
      </w:r>
      <w:r w:rsidRPr="00667FF4">
        <w:rPr>
          <w:rFonts w:asciiTheme="minorHAnsi" w:hAnsiTheme="minorHAnsi" w:cstheme="minorHAnsi"/>
          <w:sz w:val="22"/>
          <w:szCs w:val="22"/>
        </w:rPr>
        <w:t xml:space="preserve"> richiesta </w:t>
      </w:r>
      <w:r>
        <w:rPr>
          <w:rFonts w:asciiTheme="minorHAnsi" w:hAnsiTheme="minorHAnsi" w:cstheme="minorHAnsi"/>
          <w:sz w:val="22"/>
          <w:szCs w:val="22"/>
        </w:rPr>
        <w:t>di prodotto avvenuta</w:t>
      </w:r>
      <w:r w:rsidRPr="00667FF4">
        <w:rPr>
          <w:rFonts w:asciiTheme="minorHAnsi" w:hAnsiTheme="minorHAnsi" w:cstheme="minorHAnsi"/>
          <w:sz w:val="22"/>
          <w:szCs w:val="22"/>
        </w:rPr>
        <w:t xml:space="preserve"> nell’autunno appena trascorso. </w:t>
      </w:r>
      <w:r>
        <w:rPr>
          <w:rFonts w:asciiTheme="minorHAnsi" w:hAnsiTheme="minorHAnsi" w:cstheme="minorHAnsi"/>
          <w:sz w:val="22"/>
          <w:szCs w:val="22"/>
        </w:rPr>
        <w:t>Grazie agli ultimi rialzi, infatti, i</w:t>
      </w:r>
      <w:r w:rsidRPr="00667FF4">
        <w:rPr>
          <w:rFonts w:asciiTheme="minorHAnsi" w:hAnsiTheme="minorHAnsi" w:cstheme="minorHAnsi"/>
          <w:sz w:val="22"/>
          <w:szCs w:val="22"/>
        </w:rPr>
        <w:t xml:space="preserve"> prezzi dei </w:t>
      </w:r>
      <w:r w:rsidRPr="00AE6432">
        <w:rPr>
          <w:rFonts w:asciiTheme="minorHAnsi" w:hAnsiTheme="minorHAnsi" w:cstheme="minorHAnsi"/>
          <w:b/>
          <w:sz w:val="22"/>
          <w:szCs w:val="22"/>
        </w:rPr>
        <w:t>formaggi stagionati DOP</w:t>
      </w:r>
      <w:r w:rsidRPr="00667FF4">
        <w:rPr>
          <w:rFonts w:asciiTheme="minorHAnsi" w:hAnsiTheme="minorHAnsi" w:cstheme="minorHAnsi"/>
          <w:sz w:val="22"/>
          <w:szCs w:val="22"/>
        </w:rPr>
        <w:t xml:space="preserve"> sono tornati ai livelli “</w:t>
      </w:r>
      <w:proofErr w:type="spellStart"/>
      <w:r w:rsidRPr="00667FF4">
        <w:rPr>
          <w:rFonts w:asciiTheme="minorHAnsi" w:hAnsiTheme="minorHAnsi" w:cstheme="minorHAnsi"/>
          <w:sz w:val="22"/>
          <w:szCs w:val="22"/>
        </w:rPr>
        <w:t>pre-covid</w:t>
      </w:r>
      <w:proofErr w:type="spellEnd"/>
      <w:r w:rsidRPr="00667FF4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7FF4">
        <w:rPr>
          <w:rFonts w:asciiTheme="minorHAnsi" w:hAnsiTheme="minorHAnsi" w:cstheme="minorHAnsi"/>
          <w:sz w:val="22"/>
          <w:szCs w:val="22"/>
        </w:rPr>
        <w:t xml:space="preserve"> riducendo la distanza rispetto allo scorso anno al -2,2% (a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67FF4">
        <w:rPr>
          <w:rFonts w:asciiTheme="minorHAnsi" w:hAnsiTheme="minorHAnsi" w:cstheme="minorHAnsi"/>
          <w:sz w:val="22"/>
          <w:szCs w:val="22"/>
        </w:rPr>
        <w:t>ttobre era del -15,7%).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491F" w:rsidRPr="00667FF4" w:rsidRDefault="00E1491F" w:rsidP="00E1491F">
      <w:pPr>
        <w:tabs>
          <w:tab w:val="left" w:pos="3675"/>
        </w:tabs>
        <w:spacing w:after="1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 pochi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scambi commerciali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del mese di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Novembre e la chiusura di molti esercizi commerciali hanno determinato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anche nei mercati ortofrutticoli all’ingrosso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 rallentamento delle vendite e un conseguente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calo delle quotazioni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Tra gli </w:t>
      </w:r>
      <w:r w:rsidRPr="00D22EB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agrumi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si sono registrati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forti ribassi 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i prezzi delle </w:t>
      </w:r>
      <w:r w:rsidRPr="00D22EB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clementine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(-36,9% rispetto a un mese fa)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mentre tra gli ortaggi si è verificato un calo considerevole dei prezzi per </w:t>
      </w:r>
      <w:r w:rsidRPr="00D22EB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zucchine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(-37,7% rispetto a Ottobre), </w:t>
      </w:r>
      <w:r w:rsidRPr="00D22EB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cavoli broccoli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(-29,3%) e </w:t>
      </w:r>
      <w:r w:rsidRPr="00D22EB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finocchi</w:t>
      </w:r>
      <w:r w:rsidRPr="00667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(-24,3%) determinato principalmente da un aumento della produzione.</w:t>
      </w:r>
    </w:p>
    <w:bookmarkEnd w:id="1"/>
    <w:p w:rsidR="00434150" w:rsidRPr="00654FF7" w:rsidRDefault="00654FF7" w:rsidP="00C97864">
      <w:pPr>
        <w:spacing w:line="276" w:lineRule="auto"/>
        <w:rPr>
          <w:rStyle w:val="Collegamentoipertestual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"https://www.bmti.it/indice-prezzi-ingrosso/20387/"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</w:p>
    <w:p w:rsidR="00654FF7" w:rsidRPr="00654FF7" w:rsidRDefault="00654FF7" w:rsidP="00C9786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54FF7">
        <w:rPr>
          <w:rStyle w:val="Collegamentoipertestuale"/>
          <w:rFonts w:asciiTheme="minorHAnsi" w:hAnsiTheme="minorHAnsi" w:cstheme="minorHAnsi"/>
          <w:sz w:val="22"/>
          <w:szCs w:val="22"/>
        </w:rPr>
        <w:t>Nota e tabelle dell'indice dei prezzi all'ingrosso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52" w:rsidRDefault="004E3952">
      <w:r>
        <w:separator/>
      </w:r>
    </w:p>
  </w:endnote>
  <w:endnote w:type="continuationSeparator" w:id="0">
    <w:p w:rsidR="004E3952" w:rsidRDefault="004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52" w:rsidRDefault="004E3952">
      <w:r>
        <w:separator/>
      </w:r>
    </w:p>
  </w:footnote>
  <w:footnote w:type="continuationSeparator" w:id="0">
    <w:p w:rsidR="004E3952" w:rsidRDefault="004E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9.5pt;height:49.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D29"/>
    <w:rsid w:val="000D0FA1"/>
    <w:rsid w:val="000D1FBA"/>
    <w:rsid w:val="000D37E5"/>
    <w:rsid w:val="000D4272"/>
    <w:rsid w:val="000D70D1"/>
    <w:rsid w:val="000D7177"/>
    <w:rsid w:val="000D755A"/>
    <w:rsid w:val="000D7AF4"/>
    <w:rsid w:val="000E2080"/>
    <w:rsid w:val="000E3CF5"/>
    <w:rsid w:val="000E669F"/>
    <w:rsid w:val="000E6FE3"/>
    <w:rsid w:val="000E7BDB"/>
    <w:rsid w:val="000F1AC0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B6D77"/>
    <w:rsid w:val="001B7EA3"/>
    <w:rsid w:val="001C16A7"/>
    <w:rsid w:val="001C1EF3"/>
    <w:rsid w:val="001C2EE7"/>
    <w:rsid w:val="001C6F4C"/>
    <w:rsid w:val="001D119E"/>
    <w:rsid w:val="001D47A6"/>
    <w:rsid w:val="001E1AC8"/>
    <w:rsid w:val="001E2A46"/>
    <w:rsid w:val="001E722A"/>
    <w:rsid w:val="001F06C2"/>
    <w:rsid w:val="001F4790"/>
    <w:rsid w:val="001F4B6B"/>
    <w:rsid w:val="001F6734"/>
    <w:rsid w:val="00204651"/>
    <w:rsid w:val="002049DF"/>
    <w:rsid w:val="00204FD5"/>
    <w:rsid w:val="00210367"/>
    <w:rsid w:val="00211D1B"/>
    <w:rsid w:val="00212CA2"/>
    <w:rsid w:val="00213423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216"/>
    <w:rsid w:val="00281E9E"/>
    <w:rsid w:val="002826D4"/>
    <w:rsid w:val="00283E30"/>
    <w:rsid w:val="002842EE"/>
    <w:rsid w:val="002911A9"/>
    <w:rsid w:val="00292ED5"/>
    <w:rsid w:val="002A3E6B"/>
    <w:rsid w:val="002A7DE5"/>
    <w:rsid w:val="002A7F4E"/>
    <w:rsid w:val="002B31E0"/>
    <w:rsid w:val="002B506B"/>
    <w:rsid w:val="002B7C00"/>
    <w:rsid w:val="002C17D8"/>
    <w:rsid w:val="002C1E20"/>
    <w:rsid w:val="002C7AC1"/>
    <w:rsid w:val="002D4193"/>
    <w:rsid w:val="002E4F63"/>
    <w:rsid w:val="002E5739"/>
    <w:rsid w:val="002F72CE"/>
    <w:rsid w:val="00300140"/>
    <w:rsid w:val="0030352A"/>
    <w:rsid w:val="00307330"/>
    <w:rsid w:val="003156F3"/>
    <w:rsid w:val="00316CEA"/>
    <w:rsid w:val="00324DC5"/>
    <w:rsid w:val="00326E34"/>
    <w:rsid w:val="0033356C"/>
    <w:rsid w:val="00335E24"/>
    <w:rsid w:val="003403AC"/>
    <w:rsid w:val="003415A8"/>
    <w:rsid w:val="00344D91"/>
    <w:rsid w:val="003451D1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46375"/>
    <w:rsid w:val="004510B3"/>
    <w:rsid w:val="00462B21"/>
    <w:rsid w:val="00467345"/>
    <w:rsid w:val="00471A94"/>
    <w:rsid w:val="00475936"/>
    <w:rsid w:val="004965EF"/>
    <w:rsid w:val="00497008"/>
    <w:rsid w:val="004A4393"/>
    <w:rsid w:val="004A6843"/>
    <w:rsid w:val="004B7238"/>
    <w:rsid w:val="004C127C"/>
    <w:rsid w:val="004E3952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72851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35122"/>
    <w:rsid w:val="00644253"/>
    <w:rsid w:val="00654454"/>
    <w:rsid w:val="006544F7"/>
    <w:rsid w:val="00654852"/>
    <w:rsid w:val="00654FF7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65C9"/>
    <w:rsid w:val="008721A4"/>
    <w:rsid w:val="00873DC0"/>
    <w:rsid w:val="008833B1"/>
    <w:rsid w:val="008846F1"/>
    <w:rsid w:val="00890B97"/>
    <w:rsid w:val="00892E68"/>
    <w:rsid w:val="00893E33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166A"/>
    <w:rsid w:val="008F2997"/>
    <w:rsid w:val="00900438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66A3"/>
    <w:rsid w:val="009D001D"/>
    <w:rsid w:val="009D5849"/>
    <w:rsid w:val="009E0C72"/>
    <w:rsid w:val="009E193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734F"/>
    <w:rsid w:val="00A6237B"/>
    <w:rsid w:val="00A63ABE"/>
    <w:rsid w:val="00A756B4"/>
    <w:rsid w:val="00A84003"/>
    <w:rsid w:val="00A8523D"/>
    <w:rsid w:val="00A93ED2"/>
    <w:rsid w:val="00A9567C"/>
    <w:rsid w:val="00A95820"/>
    <w:rsid w:val="00AA641B"/>
    <w:rsid w:val="00AA6A8B"/>
    <w:rsid w:val="00AB3539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241A"/>
    <w:rsid w:val="00B004D6"/>
    <w:rsid w:val="00B05389"/>
    <w:rsid w:val="00B114F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75063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63ED"/>
    <w:rsid w:val="00BB643E"/>
    <w:rsid w:val="00BC5D39"/>
    <w:rsid w:val="00BC64D2"/>
    <w:rsid w:val="00BC76D4"/>
    <w:rsid w:val="00BD162D"/>
    <w:rsid w:val="00BD6A2D"/>
    <w:rsid w:val="00BE7ED1"/>
    <w:rsid w:val="00BF0D54"/>
    <w:rsid w:val="00BF4FD0"/>
    <w:rsid w:val="00C00FD5"/>
    <w:rsid w:val="00C10CD0"/>
    <w:rsid w:val="00C25359"/>
    <w:rsid w:val="00C30181"/>
    <w:rsid w:val="00C314D1"/>
    <w:rsid w:val="00C332C6"/>
    <w:rsid w:val="00C34991"/>
    <w:rsid w:val="00C35F55"/>
    <w:rsid w:val="00C40360"/>
    <w:rsid w:val="00C42D50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31DB"/>
    <w:rsid w:val="00CA3CB5"/>
    <w:rsid w:val="00CA5984"/>
    <w:rsid w:val="00CA7779"/>
    <w:rsid w:val="00CA78B1"/>
    <w:rsid w:val="00CB392C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6A61"/>
    <w:rsid w:val="00D56FF6"/>
    <w:rsid w:val="00D6251C"/>
    <w:rsid w:val="00D67A3C"/>
    <w:rsid w:val="00D7350E"/>
    <w:rsid w:val="00D74A15"/>
    <w:rsid w:val="00D8024E"/>
    <w:rsid w:val="00D854C6"/>
    <w:rsid w:val="00D85E26"/>
    <w:rsid w:val="00D8691F"/>
    <w:rsid w:val="00D96A74"/>
    <w:rsid w:val="00DA3569"/>
    <w:rsid w:val="00DD611D"/>
    <w:rsid w:val="00DE0F1C"/>
    <w:rsid w:val="00DE1B7D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4A6A"/>
    <w:rsid w:val="00E579FE"/>
    <w:rsid w:val="00E706F6"/>
    <w:rsid w:val="00E76281"/>
    <w:rsid w:val="00E775D9"/>
    <w:rsid w:val="00E805FA"/>
    <w:rsid w:val="00E8791D"/>
    <w:rsid w:val="00E97D27"/>
    <w:rsid w:val="00EA145B"/>
    <w:rsid w:val="00EA1E10"/>
    <w:rsid w:val="00EA22D3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5CD02A-8A05-4B8C-B7BA-88E22415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2575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admin</cp:lastModifiedBy>
  <cp:revision>2</cp:revision>
  <cp:lastPrinted>2020-12-23T09:54:00Z</cp:lastPrinted>
  <dcterms:created xsi:type="dcterms:W3CDTF">2020-12-23T13:38:00Z</dcterms:created>
  <dcterms:modified xsi:type="dcterms:W3CDTF">2020-12-23T13:38:00Z</dcterms:modified>
</cp:coreProperties>
</file>