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8D94B" w14:textId="77777777" w:rsidR="006050A4" w:rsidRDefault="006050A4" w:rsidP="003E19DF">
      <w:pPr>
        <w:ind w:left="-142"/>
        <w:jc w:val="center"/>
        <w:rPr>
          <w:rFonts w:ascii="Calibri" w:hAnsi="Calibri" w:cs="Calibri"/>
          <w:b/>
          <w:szCs w:val="24"/>
        </w:rPr>
      </w:pPr>
    </w:p>
    <w:p w14:paraId="2DB511B3" w14:textId="77777777" w:rsidR="0014309F" w:rsidRDefault="0014309F" w:rsidP="008E75C6">
      <w:pPr>
        <w:jc w:val="left"/>
        <w:rPr>
          <w:rFonts w:ascii="Calibri" w:hAnsi="Calibri" w:cs="Calibri"/>
          <w:b/>
          <w:szCs w:val="24"/>
        </w:rPr>
      </w:pPr>
    </w:p>
    <w:p w14:paraId="1674D8BF" w14:textId="77777777" w:rsidR="0014309F" w:rsidRDefault="003105A7" w:rsidP="008E75C6">
      <w:pPr>
        <w:jc w:val="left"/>
        <w:rPr>
          <w:rFonts w:ascii="Calibri" w:hAnsi="Calibri" w:cs="Calibri"/>
          <w:b/>
          <w:szCs w:val="24"/>
        </w:rPr>
      </w:pPr>
      <w:r w:rsidRPr="003105A7">
        <w:rPr>
          <w:rFonts w:ascii="Fedra Sans Std Demi" w:hAnsi="Fedra Sans Std Demi" w:cs="Calibri"/>
          <w:color w:val="071D49"/>
          <w:szCs w:val="24"/>
        </w:rPr>
        <w:t>Comunicato stampa</w:t>
      </w:r>
    </w:p>
    <w:p w14:paraId="1BABCD43" w14:textId="77777777" w:rsidR="00CC45BE" w:rsidRDefault="00CC45BE" w:rsidP="00A11480">
      <w:pPr>
        <w:jc w:val="center"/>
        <w:rPr>
          <w:rFonts w:ascii="Calibri" w:hAnsi="Calibri" w:cs="Calibri"/>
          <w:b/>
          <w:sz w:val="32"/>
          <w:szCs w:val="32"/>
        </w:rPr>
      </w:pPr>
    </w:p>
    <w:p w14:paraId="28EE4DD2" w14:textId="77777777" w:rsidR="00290AE9" w:rsidRDefault="004F7FCF" w:rsidP="004F7FCF">
      <w:pPr>
        <w:rPr>
          <w:rFonts w:ascii="Calibri" w:hAnsi="Calibri" w:cs="Calibri"/>
          <w:b/>
          <w:sz w:val="32"/>
          <w:szCs w:val="32"/>
        </w:rPr>
      </w:pPr>
      <w:r w:rsidRPr="004F7FCF">
        <w:rPr>
          <w:rFonts w:ascii="Calibri" w:hAnsi="Calibri" w:cs="Calibri"/>
          <w:b/>
          <w:sz w:val="32"/>
          <w:szCs w:val="32"/>
        </w:rPr>
        <w:t xml:space="preserve">Blue </w:t>
      </w:r>
      <w:proofErr w:type="gramStart"/>
      <w:r w:rsidRPr="004F7FCF">
        <w:rPr>
          <w:rFonts w:ascii="Calibri" w:hAnsi="Calibri" w:cs="Calibri"/>
          <w:b/>
          <w:sz w:val="32"/>
          <w:szCs w:val="32"/>
        </w:rPr>
        <w:t>Economy :</w:t>
      </w:r>
      <w:proofErr w:type="gramEnd"/>
      <w:r w:rsidRPr="004F7FCF">
        <w:rPr>
          <w:rFonts w:ascii="Calibri" w:hAnsi="Calibri" w:cs="Calibri"/>
          <w:b/>
          <w:sz w:val="32"/>
          <w:szCs w:val="32"/>
        </w:rPr>
        <w:t xml:space="preserve"> </w:t>
      </w:r>
      <w:r w:rsidR="00290AE9">
        <w:rPr>
          <w:rFonts w:ascii="Calibri" w:hAnsi="Calibri" w:cs="Calibri"/>
          <w:b/>
          <w:sz w:val="32"/>
          <w:szCs w:val="32"/>
        </w:rPr>
        <w:t>200mila</w:t>
      </w:r>
      <w:r w:rsidR="004A4E70">
        <w:rPr>
          <w:rFonts w:ascii="Calibri" w:hAnsi="Calibri" w:cs="Calibri"/>
          <w:b/>
          <w:sz w:val="32"/>
          <w:szCs w:val="32"/>
        </w:rPr>
        <w:t xml:space="preserve"> le</w:t>
      </w:r>
      <w:r w:rsidR="00290AE9">
        <w:rPr>
          <w:rFonts w:ascii="Calibri" w:hAnsi="Calibri" w:cs="Calibri"/>
          <w:b/>
          <w:sz w:val="32"/>
          <w:szCs w:val="32"/>
        </w:rPr>
        <w:t xml:space="preserve"> aziende, 47miliardi il valore aggiunto</w:t>
      </w:r>
    </w:p>
    <w:p w14:paraId="592C39E5" w14:textId="77777777" w:rsidR="004F7FCF" w:rsidRPr="004F7FCF" w:rsidRDefault="00290AE9" w:rsidP="00290AE9">
      <w:pPr>
        <w:ind w:left="708" w:firstLine="708"/>
        <w:rPr>
          <w:rFonts w:ascii="Calibri" w:hAnsi="Calibri" w:cs="Calibri"/>
          <w:b/>
          <w:sz w:val="32"/>
          <w:szCs w:val="32"/>
        </w:rPr>
      </w:pPr>
      <w:r>
        <w:rPr>
          <w:rFonts w:ascii="Calibri" w:hAnsi="Calibri" w:cs="Calibri"/>
          <w:b/>
          <w:sz w:val="32"/>
          <w:szCs w:val="32"/>
        </w:rPr>
        <w:t>C</w:t>
      </w:r>
      <w:r w:rsidR="004F7FCF" w:rsidRPr="004F7FCF">
        <w:rPr>
          <w:rFonts w:ascii="Calibri" w:hAnsi="Calibri" w:cs="Calibri"/>
          <w:b/>
          <w:sz w:val="32"/>
          <w:szCs w:val="32"/>
        </w:rPr>
        <w:t xml:space="preserve">ompetenze green richieste per 4 assunzioni su 5   </w:t>
      </w:r>
    </w:p>
    <w:p w14:paraId="10B5E069" w14:textId="77777777" w:rsidR="00823440" w:rsidRDefault="00823440" w:rsidP="008E75C6">
      <w:pPr>
        <w:rPr>
          <w:rFonts w:ascii="Calibri" w:hAnsi="Calibri" w:cs="Calibri"/>
          <w:sz w:val="32"/>
          <w:szCs w:val="32"/>
        </w:rPr>
      </w:pPr>
    </w:p>
    <w:p w14:paraId="2C6EC3EF" w14:textId="37F0EA6D" w:rsidR="004F7FCF" w:rsidRPr="00E900B4" w:rsidRDefault="004570FB" w:rsidP="004F7FCF">
      <w:pPr>
        <w:rPr>
          <w:rFonts w:asciiTheme="minorHAnsi" w:eastAsia="Calibri" w:hAnsiTheme="minorHAnsi" w:cstheme="minorHAnsi"/>
          <w:b/>
          <w:bCs/>
          <w:szCs w:val="24"/>
          <w:lang w:eastAsia="en-US"/>
        </w:rPr>
      </w:pPr>
      <w:r>
        <w:rPr>
          <w:rFonts w:ascii="Calibri" w:hAnsi="Calibri" w:cs="Calibri"/>
          <w:szCs w:val="24"/>
        </w:rPr>
        <w:t>Roma,</w:t>
      </w:r>
      <w:r w:rsidR="00AE260C">
        <w:rPr>
          <w:rFonts w:ascii="Calibri" w:hAnsi="Calibri" w:cs="Calibri"/>
          <w:szCs w:val="24"/>
        </w:rPr>
        <w:t xml:space="preserve"> </w:t>
      </w:r>
      <w:r w:rsidR="00510367">
        <w:rPr>
          <w:rFonts w:ascii="Calibri" w:hAnsi="Calibri" w:cs="Calibri"/>
          <w:szCs w:val="24"/>
        </w:rPr>
        <w:t>17</w:t>
      </w:r>
      <w:r w:rsidR="00AC4933">
        <w:rPr>
          <w:rFonts w:ascii="Calibri" w:hAnsi="Calibri" w:cs="Calibri"/>
          <w:szCs w:val="24"/>
        </w:rPr>
        <w:t xml:space="preserve"> marzo 2021</w:t>
      </w:r>
      <w:r w:rsidR="00EA0258">
        <w:rPr>
          <w:rFonts w:ascii="Calibri" w:hAnsi="Calibri" w:cs="Calibri"/>
          <w:szCs w:val="24"/>
        </w:rPr>
        <w:t xml:space="preserve"> </w:t>
      </w:r>
      <w:r w:rsidR="00F94231">
        <w:rPr>
          <w:rFonts w:ascii="Calibri" w:hAnsi="Calibri" w:cs="Calibri"/>
          <w:szCs w:val="24"/>
        </w:rPr>
        <w:t>–</w:t>
      </w:r>
      <w:r w:rsidR="00690246">
        <w:rPr>
          <w:rFonts w:ascii="Calibri" w:hAnsi="Calibri" w:cs="Calibri"/>
          <w:szCs w:val="24"/>
        </w:rPr>
        <w:t xml:space="preserve"> </w:t>
      </w:r>
      <w:r w:rsidR="004F7FCF" w:rsidRPr="00FC297E">
        <w:rPr>
          <w:rFonts w:asciiTheme="minorHAnsi" w:eastAsia="Calibri" w:hAnsiTheme="minorHAnsi" w:cstheme="minorHAnsi"/>
          <w:bCs/>
          <w:szCs w:val="24"/>
          <w:lang w:eastAsia="en-US"/>
        </w:rPr>
        <w:t>2</w:t>
      </w:r>
      <w:r w:rsidR="003259C6">
        <w:rPr>
          <w:rFonts w:asciiTheme="minorHAnsi" w:eastAsia="Calibri" w:hAnsiTheme="minorHAnsi" w:cstheme="minorHAnsi"/>
          <w:bCs/>
          <w:szCs w:val="24"/>
          <w:lang w:eastAsia="en-US"/>
        </w:rPr>
        <w:t>00 mila aziende, quasi 1 milione</w:t>
      </w:r>
      <w:r w:rsidR="004F7FCF" w:rsidRPr="00FC297E">
        <w:rPr>
          <w:rFonts w:asciiTheme="minorHAnsi" w:eastAsia="Calibri" w:hAnsiTheme="minorHAnsi" w:cstheme="minorHAnsi"/>
          <w:bCs/>
          <w:szCs w:val="24"/>
          <w:lang w:eastAsia="en-US"/>
        </w:rPr>
        <w:t xml:space="preserve"> di occupati, circa 47 miliardi di euro di valore aggiunto, un effetto moltiplicativo sull’economia di 1,9. L’81% delle competenze professionali richieste dalle </w:t>
      </w:r>
      <w:r w:rsidR="004F7FCF" w:rsidRPr="00E900B4">
        <w:rPr>
          <w:rFonts w:asciiTheme="minorHAnsi" w:eastAsia="Calibri" w:hAnsiTheme="minorHAnsi" w:cstheme="minorHAnsi"/>
          <w:bCs/>
          <w:szCs w:val="24"/>
          <w:lang w:eastAsia="en-US"/>
        </w:rPr>
        <w:t>imprese blu riguardano il green e la sostenibilità, l’esperienza pregressa conta per quasi il 70% delle assunzioni</w:t>
      </w:r>
      <w:r w:rsidR="004F7FCF" w:rsidRPr="00E900B4">
        <w:rPr>
          <w:rFonts w:asciiTheme="minorHAnsi" w:eastAsia="Calibri" w:hAnsiTheme="minorHAnsi" w:cstheme="minorHAnsi"/>
          <w:b/>
          <w:bCs/>
          <w:szCs w:val="24"/>
          <w:lang w:eastAsia="en-US"/>
        </w:rPr>
        <w:t xml:space="preserve">. </w:t>
      </w:r>
      <w:r w:rsidR="004F7FCF" w:rsidRPr="00E900B4">
        <w:rPr>
          <w:rFonts w:asciiTheme="minorHAnsi" w:eastAsia="Calibri" w:hAnsiTheme="minorHAnsi" w:cstheme="minorHAnsi"/>
          <w:bCs/>
          <w:szCs w:val="24"/>
          <w:lang w:eastAsia="en-US"/>
        </w:rPr>
        <w:t>Sono i principali numeri</w:t>
      </w:r>
      <w:r w:rsidR="004F7FCF" w:rsidRPr="00E900B4">
        <w:rPr>
          <w:rFonts w:asciiTheme="minorHAnsi" w:eastAsia="Calibri" w:hAnsiTheme="minorHAnsi" w:cstheme="minorHAnsi"/>
          <w:b/>
          <w:bCs/>
          <w:szCs w:val="24"/>
          <w:lang w:eastAsia="en-US"/>
        </w:rPr>
        <w:t xml:space="preserve"> dell’ultimo Rapporto dell’economia del mare </w:t>
      </w:r>
      <w:r w:rsidR="004F7FCF" w:rsidRPr="00E900B4">
        <w:rPr>
          <w:rFonts w:asciiTheme="minorHAnsi" w:eastAsia="Calibri" w:hAnsiTheme="minorHAnsi" w:cstheme="minorHAnsi"/>
          <w:bCs/>
          <w:szCs w:val="24"/>
          <w:lang w:eastAsia="en-US"/>
        </w:rPr>
        <w:t xml:space="preserve">promosso dalla </w:t>
      </w:r>
      <w:r w:rsidR="004F7FCF" w:rsidRPr="00E900B4">
        <w:rPr>
          <w:rFonts w:asciiTheme="minorHAnsi" w:eastAsia="Calibri" w:hAnsiTheme="minorHAnsi" w:cstheme="minorHAnsi"/>
          <w:b/>
          <w:bCs/>
          <w:szCs w:val="24"/>
          <w:lang w:eastAsia="en-US"/>
        </w:rPr>
        <w:t xml:space="preserve">Camera di commercio di Frosinone-Latina </w:t>
      </w:r>
      <w:r w:rsidR="004F7FCF" w:rsidRPr="00E900B4">
        <w:rPr>
          <w:rFonts w:asciiTheme="minorHAnsi" w:eastAsia="Calibri" w:hAnsiTheme="minorHAnsi" w:cstheme="minorHAnsi"/>
          <w:bCs/>
          <w:szCs w:val="24"/>
          <w:lang w:eastAsia="en-US"/>
        </w:rPr>
        <w:t>in raccordo</w:t>
      </w:r>
      <w:r w:rsidR="004F7FCF" w:rsidRPr="00E900B4">
        <w:rPr>
          <w:rFonts w:asciiTheme="minorHAnsi" w:eastAsia="Calibri" w:hAnsiTheme="minorHAnsi" w:cstheme="minorHAnsi"/>
          <w:b/>
          <w:bCs/>
          <w:szCs w:val="24"/>
          <w:lang w:eastAsia="en-US"/>
        </w:rPr>
        <w:t xml:space="preserve"> </w:t>
      </w:r>
      <w:r w:rsidR="004F7FCF" w:rsidRPr="00BF11CD">
        <w:rPr>
          <w:rFonts w:asciiTheme="minorHAnsi" w:eastAsia="Calibri" w:hAnsiTheme="minorHAnsi" w:cstheme="minorHAnsi"/>
          <w:bCs/>
          <w:szCs w:val="24"/>
          <w:lang w:eastAsia="en-US"/>
        </w:rPr>
        <w:t xml:space="preserve">con </w:t>
      </w:r>
      <w:proofErr w:type="spellStart"/>
      <w:r w:rsidR="004F7FCF" w:rsidRPr="00E900B4">
        <w:rPr>
          <w:rFonts w:asciiTheme="minorHAnsi" w:eastAsia="Calibri" w:hAnsiTheme="minorHAnsi" w:cstheme="minorHAnsi"/>
          <w:b/>
          <w:bCs/>
          <w:szCs w:val="24"/>
          <w:lang w:eastAsia="en-US"/>
        </w:rPr>
        <w:t>Unioncamere</w:t>
      </w:r>
      <w:proofErr w:type="spellEnd"/>
      <w:r w:rsidR="004F7FCF" w:rsidRPr="00E900B4">
        <w:rPr>
          <w:rFonts w:asciiTheme="minorHAnsi" w:eastAsia="Calibri" w:hAnsiTheme="minorHAnsi" w:cstheme="minorHAnsi"/>
          <w:b/>
          <w:bCs/>
          <w:szCs w:val="24"/>
          <w:lang w:eastAsia="en-US"/>
        </w:rPr>
        <w:t xml:space="preserve"> e </w:t>
      </w:r>
      <w:r w:rsidR="004F7FCF" w:rsidRPr="00E900B4">
        <w:rPr>
          <w:rFonts w:asciiTheme="minorHAnsi" w:eastAsia="Calibri" w:hAnsiTheme="minorHAnsi" w:cstheme="minorHAnsi"/>
          <w:bCs/>
          <w:szCs w:val="24"/>
          <w:lang w:eastAsia="en-US"/>
        </w:rPr>
        <w:t>realizzato</w:t>
      </w:r>
      <w:bookmarkStart w:id="0" w:name="_GoBack"/>
      <w:r w:rsidR="00510367" w:rsidRPr="00BF11CD">
        <w:rPr>
          <w:rFonts w:asciiTheme="minorHAnsi" w:eastAsia="Calibri" w:hAnsiTheme="minorHAnsi" w:cstheme="minorHAnsi"/>
          <w:bCs/>
          <w:szCs w:val="24"/>
          <w:lang w:eastAsia="en-US"/>
        </w:rPr>
        <w:t xml:space="preserve"> dal</w:t>
      </w:r>
      <w:r w:rsidR="00510367">
        <w:rPr>
          <w:rFonts w:asciiTheme="minorHAnsi" w:eastAsia="Calibri" w:hAnsiTheme="minorHAnsi" w:cstheme="minorHAnsi"/>
          <w:b/>
          <w:bCs/>
          <w:szCs w:val="24"/>
          <w:lang w:eastAsia="en-US"/>
        </w:rPr>
        <w:t xml:space="preserve"> </w:t>
      </w:r>
      <w:bookmarkEnd w:id="0"/>
      <w:r w:rsidR="00510367">
        <w:rPr>
          <w:rFonts w:asciiTheme="minorHAnsi" w:eastAsia="Calibri" w:hAnsiTheme="minorHAnsi" w:cstheme="minorHAnsi"/>
          <w:b/>
          <w:bCs/>
          <w:szCs w:val="24"/>
          <w:lang w:eastAsia="en-US"/>
        </w:rPr>
        <w:t>Centro S</w:t>
      </w:r>
      <w:r w:rsidR="004F7FCF" w:rsidRPr="00E900B4">
        <w:rPr>
          <w:rFonts w:asciiTheme="minorHAnsi" w:eastAsia="Calibri" w:hAnsiTheme="minorHAnsi" w:cstheme="minorHAnsi"/>
          <w:b/>
          <w:bCs/>
          <w:szCs w:val="24"/>
          <w:lang w:eastAsia="en-US"/>
        </w:rPr>
        <w:t xml:space="preserve">tudi delle Camere di commercio Guglielmo </w:t>
      </w:r>
      <w:proofErr w:type="spellStart"/>
      <w:r w:rsidR="004F7FCF" w:rsidRPr="00E900B4">
        <w:rPr>
          <w:rFonts w:asciiTheme="minorHAnsi" w:eastAsia="Calibri" w:hAnsiTheme="minorHAnsi" w:cstheme="minorHAnsi"/>
          <w:b/>
          <w:bCs/>
          <w:szCs w:val="24"/>
          <w:lang w:eastAsia="en-US"/>
        </w:rPr>
        <w:t>Tagliacarne</w:t>
      </w:r>
      <w:proofErr w:type="spellEnd"/>
      <w:r w:rsidR="004F7FCF" w:rsidRPr="00E900B4">
        <w:rPr>
          <w:rFonts w:asciiTheme="minorHAnsi" w:eastAsia="Calibri" w:hAnsiTheme="minorHAnsi" w:cstheme="minorHAnsi"/>
          <w:b/>
          <w:bCs/>
          <w:szCs w:val="24"/>
          <w:lang w:eastAsia="en-US"/>
        </w:rPr>
        <w:t>.</w:t>
      </w:r>
    </w:p>
    <w:p w14:paraId="305F6C9C" w14:textId="77777777" w:rsidR="004F7FCF" w:rsidRPr="00E900B4" w:rsidRDefault="004F7FCF" w:rsidP="004F7FCF">
      <w:pPr>
        <w:spacing w:line="259" w:lineRule="auto"/>
        <w:rPr>
          <w:rFonts w:asciiTheme="minorHAnsi" w:eastAsia="Calibri" w:hAnsiTheme="minorHAnsi" w:cstheme="minorHAnsi"/>
          <w:szCs w:val="24"/>
          <w:lang w:eastAsia="en-US"/>
        </w:rPr>
      </w:pPr>
    </w:p>
    <w:p w14:paraId="57D66CC5" w14:textId="02DBDEE3" w:rsidR="004F7FCF" w:rsidRPr="00BF11CD" w:rsidRDefault="004F7FCF" w:rsidP="004F7FCF">
      <w:pPr>
        <w:spacing w:line="259" w:lineRule="auto"/>
        <w:rPr>
          <w:rFonts w:asciiTheme="minorHAnsi" w:hAnsiTheme="minorHAnsi" w:cstheme="minorHAnsi"/>
          <w:szCs w:val="24"/>
        </w:rPr>
      </w:pPr>
      <w:r w:rsidRPr="00BF11CD">
        <w:rPr>
          <w:rFonts w:asciiTheme="minorHAnsi" w:hAnsiTheme="minorHAnsi" w:cstheme="minorHAnsi"/>
          <w:szCs w:val="24"/>
        </w:rPr>
        <w:t>L’economia del mare è centrale per uno sviluppo sostenibile e green. Secondo l’ultimo “Blue Economy Report 2020”, l'economia blu dell'UE, con 5 milioni di occupati, un fatturato di 750 miliardi di euro nel 2018, e un incremento dell’11,6% rispetto all’anno precedente, rappresenta un potenzial</w:t>
      </w:r>
      <w:r w:rsidR="008F1D33" w:rsidRPr="00BF11CD">
        <w:rPr>
          <w:rFonts w:asciiTheme="minorHAnsi" w:hAnsiTheme="minorHAnsi" w:cstheme="minorHAnsi"/>
          <w:szCs w:val="24"/>
        </w:rPr>
        <w:t>e enorme e in continua crescita.</w:t>
      </w:r>
      <w:r w:rsidRPr="00BF11CD">
        <w:rPr>
          <w:rFonts w:asciiTheme="minorHAnsi" w:hAnsiTheme="minorHAnsi" w:cstheme="minorHAnsi"/>
          <w:szCs w:val="24"/>
        </w:rPr>
        <w:t xml:space="preserve"> </w:t>
      </w:r>
      <w:r w:rsidR="008F1D33" w:rsidRPr="00BF11CD">
        <w:rPr>
          <w:rFonts w:asciiTheme="minorHAnsi" w:hAnsiTheme="minorHAnsi" w:cstheme="minorHAnsi"/>
          <w:szCs w:val="24"/>
        </w:rPr>
        <w:t>Per questo</w:t>
      </w:r>
      <w:r w:rsidRPr="00BF11CD">
        <w:rPr>
          <w:rFonts w:asciiTheme="minorHAnsi" w:hAnsiTheme="minorHAnsi" w:cstheme="minorHAnsi"/>
          <w:szCs w:val="24"/>
        </w:rPr>
        <w:t xml:space="preserve"> l’UE raccomanda agli Stati membri di includere nei Piani di ripresa del </w:t>
      </w:r>
      <w:proofErr w:type="spellStart"/>
      <w:r w:rsidRPr="00BF11CD">
        <w:rPr>
          <w:rFonts w:asciiTheme="minorHAnsi" w:hAnsiTheme="minorHAnsi" w:cstheme="minorHAnsi"/>
          <w:szCs w:val="24"/>
        </w:rPr>
        <w:t>Recovery</w:t>
      </w:r>
      <w:proofErr w:type="spellEnd"/>
      <w:r w:rsidRPr="00BF11CD">
        <w:rPr>
          <w:rFonts w:asciiTheme="minorHAnsi" w:hAnsiTheme="minorHAnsi" w:cstheme="minorHAnsi"/>
          <w:szCs w:val="24"/>
        </w:rPr>
        <w:t xml:space="preserve"> Fund, misure di protezione e ripristino della biodiversità e degli ecosistemi marini (quali lo sviluppo e la gestione della rete Natura 2000, la conservazione e il ripristino di specie e habitat, il controllo delle specie </w:t>
      </w:r>
      <w:proofErr w:type="spellStart"/>
      <w:r w:rsidRPr="00BF11CD">
        <w:rPr>
          <w:rFonts w:asciiTheme="minorHAnsi" w:hAnsiTheme="minorHAnsi" w:cstheme="minorHAnsi"/>
          <w:szCs w:val="24"/>
        </w:rPr>
        <w:t>esotiche</w:t>
      </w:r>
      <w:proofErr w:type="spellEnd"/>
      <w:r w:rsidRPr="00BF11CD">
        <w:rPr>
          <w:rFonts w:asciiTheme="minorHAnsi" w:hAnsiTheme="minorHAnsi" w:cstheme="minorHAnsi"/>
          <w:szCs w:val="24"/>
        </w:rPr>
        <w:t xml:space="preserve"> invasive o la costruzione di infrastrutture blu).</w:t>
      </w:r>
    </w:p>
    <w:p w14:paraId="5817A213" w14:textId="77777777" w:rsidR="004F7FCF" w:rsidRPr="00E900B4" w:rsidRDefault="004F7FCF" w:rsidP="004F7FCF">
      <w:pPr>
        <w:spacing w:line="259" w:lineRule="auto"/>
        <w:rPr>
          <w:rFonts w:asciiTheme="minorHAnsi" w:hAnsiTheme="minorHAnsi" w:cstheme="minorHAnsi"/>
          <w:szCs w:val="24"/>
        </w:rPr>
      </w:pPr>
    </w:p>
    <w:p w14:paraId="1DB18AF2" w14:textId="3B328DDF" w:rsidR="004F7FCF" w:rsidRPr="00E900B4" w:rsidRDefault="004F7FCF" w:rsidP="004F7FCF">
      <w:pPr>
        <w:rPr>
          <w:rFonts w:asciiTheme="minorHAnsi" w:hAnsiTheme="minorHAnsi" w:cstheme="minorHAnsi"/>
          <w:szCs w:val="24"/>
        </w:rPr>
      </w:pPr>
      <w:r w:rsidRPr="00E900B4">
        <w:rPr>
          <w:rFonts w:asciiTheme="minorHAnsi" w:hAnsiTheme="minorHAnsi" w:cstheme="minorHAnsi"/>
          <w:szCs w:val="24"/>
        </w:rPr>
        <w:t>Le imprese</w:t>
      </w:r>
      <w:r w:rsidR="00477D8E" w:rsidRPr="00E900B4">
        <w:rPr>
          <w:rFonts w:asciiTheme="minorHAnsi" w:hAnsiTheme="minorHAnsi" w:cstheme="minorHAnsi"/>
          <w:szCs w:val="24"/>
        </w:rPr>
        <w:t xml:space="preserve"> </w:t>
      </w:r>
      <w:r w:rsidR="00FD6EFC" w:rsidRPr="00E900B4">
        <w:rPr>
          <w:rFonts w:asciiTheme="minorHAnsi" w:hAnsiTheme="minorHAnsi" w:cstheme="minorHAnsi"/>
          <w:szCs w:val="24"/>
        </w:rPr>
        <w:t xml:space="preserve">italiane </w:t>
      </w:r>
      <w:r w:rsidR="00477D8E" w:rsidRPr="00E900B4">
        <w:rPr>
          <w:rFonts w:asciiTheme="minorHAnsi" w:hAnsiTheme="minorHAnsi" w:cstheme="minorHAnsi"/>
          <w:szCs w:val="24"/>
        </w:rPr>
        <w:t xml:space="preserve">dell’economia del mare sono </w:t>
      </w:r>
      <w:r w:rsidR="002C7F50" w:rsidRPr="00E900B4">
        <w:rPr>
          <w:rFonts w:asciiTheme="minorHAnsi" w:hAnsiTheme="minorHAnsi" w:cstheme="minorHAnsi"/>
          <w:szCs w:val="24"/>
        </w:rPr>
        <w:t>199.177 nel 2018</w:t>
      </w:r>
      <w:r w:rsidR="005A7555">
        <w:rPr>
          <w:rFonts w:asciiTheme="minorHAnsi" w:hAnsiTheme="minorHAnsi" w:cstheme="minorHAnsi"/>
          <w:szCs w:val="24"/>
        </w:rPr>
        <w:t xml:space="preserve"> </w:t>
      </w:r>
      <w:r w:rsidR="00FD401E" w:rsidRPr="005A7555">
        <w:rPr>
          <w:rFonts w:asciiTheme="minorHAnsi" w:hAnsiTheme="minorHAnsi" w:cstheme="minorHAnsi"/>
          <w:color w:val="000000" w:themeColor="text1"/>
          <w:szCs w:val="24"/>
        </w:rPr>
        <w:t>(</w:t>
      </w:r>
      <w:r w:rsidRPr="00E900B4">
        <w:rPr>
          <w:rFonts w:asciiTheme="minorHAnsi" w:hAnsiTheme="minorHAnsi" w:cstheme="minorHAnsi"/>
          <w:szCs w:val="24"/>
        </w:rPr>
        <w:t>il 3,3% del totale complessivo</w:t>
      </w:r>
      <w:r w:rsidR="00FD401E">
        <w:rPr>
          <w:rFonts w:asciiTheme="minorHAnsi" w:hAnsiTheme="minorHAnsi" w:cstheme="minorHAnsi"/>
          <w:szCs w:val="24"/>
        </w:rPr>
        <w:t>)</w:t>
      </w:r>
      <w:r w:rsidRPr="00E900B4">
        <w:rPr>
          <w:rFonts w:asciiTheme="minorHAnsi" w:hAnsiTheme="minorHAnsi" w:cstheme="minorHAnsi"/>
          <w:szCs w:val="24"/>
        </w:rPr>
        <w:t xml:space="preserve"> e danno lavoro a 885,2 mila persone </w:t>
      </w:r>
      <w:r w:rsidR="00FD401E">
        <w:rPr>
          <w:rFonts w:asciiTheme="minorHAnsi" w:hAnsiTheme="minorHAnsi" w:cstheme="minorHAnsi"/>
          <w:szCs w:val="24"/>
        </w:rPr>
        <w:t>(</w:t>
      </w:r>
      <w:r w:rsidRPr="00E900B4">
        <w:rPr>
          <w:rFonts w:asciiTheme="minorHAnsi" w:hAnsiTheme="minorHAnsi" w:cstheme="minorHAnsi"/>
          <w:szCs w:val="24"/>
        </w:rPr>
        <w:t>il 3,5% sul totale dell’occupazione del</w:t>
      </w:r>
      <w:r w:rsidR="00FD6EFC" w:rsidRPr="00E900B4">
        <w:rPr>
          <w:rFonts w:asciiTheme="minorHAnsi" w:hAnsiTheme="minorHAnsi" w:cstheme="minorHAnsi"/>
          <w:szCs w:val="24"/>
        </w:rPr>
        <w:t xml:space="preserve"> </w:t>
      </w:r>
      <w:r w:rsidRPr="00E900B4">
        <w:rPr>
          <w:rFonts w:asciiTheme="minorHAnsi" w:hAnsiTheme="minorHAnsi" w:cstheme="minorHAnsi"/>
          <w:szCs w:val="24"/>
        </w:rPr>
        <w:t>Paese</w:t>
      </w:r>
      <w:r w:rsidR="00FD401E">
        <w:rPr>
          <w:rFonts w:asciiTheme="minorHAnsi" w:hAnsiTheme="minorHAnsi" w:cstheme="minorHAnsi"/>
          <w:szCs w:val="24"/>
        </w:rPr>
        <w:t>)</w:t>
      </w:r>
      <w:r w:rsidRPr="00E900B4">
        <w:rPr>
          <w:rFonts w:asciiTheme="minorHAnsi" w:hAnsiTheme="minorHAnsi" w:cstheme="minorHAnsi"/>
          <w:szCs w:val="24"/>
        </w:rPr>
        <w:t xml:space="preserve">. </w:t>
      </w:r>
      <w:r w:rsidR="00D33FE0" w:rsidRPr="00E900B4">
        <w:rPr>
          <w:rFonts w:asciiTheme="minorHAnsi" w:hAnsiTheme="minorHAnsi" w:cstheme="minorHAnsi"/>
          <w:szCs w:val="24"/>
        </w:rPr>
        <w:t>Più di 4 imprese</w:t>
      </w:r>
      <w:r w:rsidR="00EE7CD9">
        <w:rPr>
          <w:rFonts w:asciiTheme="minorHAnsi" w:hAnsiTheme="minorHAnsi" w:cstheme="minorHAnsi"/>
          <w:szCs w:val="24"/>
        </w:rPr>
        <w:t xml:space="preserve"> della B</w:t>
      </w:r>
      <w:r w:rsidR="00C806F6" w:rsidRPr="00E900B4">
        <w:rPr>
          <w:rFonts w:asciiTheme="minorHAnsi" w:hAnsiTheme="minorHAnsi" w:cstheme="minorHAnsi"/>
          <w:szCs w:val="24"/>
        </w:rPr>
        <w:t xml:space="preserve">lue </w:t>
      </w:r>
      <w:r w:rsidR="00EE7CD9">
        <w:rPr>
          <w:rFonts w:asciiTheme="minorHAnsi" w:hAnsiTheme="minorHAnsi" w:cstheme="minorHAnsi"/>
          <w:szCs w:val="24"/>
        </w:rPr>
        <w:t>E</w:t>
      </w:r>
      <w:r w:rsidR="00C806F6" w:rsidRPr="00E900B4">
        <w:rPr>
          <w:rFonts w:asciiTheme="minorHAnsi" w:hAnsiTheme="minorHAnsi" w:cstheme="minorHAnsi"/>
          <w:szCs w:val="24"/>
        </w:rPr>
        <w:t>conomy</w:t>
      </w:r>
      <w:r w:rsidR="00D33FE0" w:rsidRPr="00E900B4">
        <w:rPr>
          <w:rFonts w:asciiTheme="minorHAnsi" w:hAnsiTheme="minorHAnsi" w:cstheme="minorHAnsi"/>
          <w:szCs w:val="24"/>
        </w:rPr>
        <w:t xml:space="preserve"> su 10 si occupano di servizi di alloggio e ristorazione, il 16,8% </w:t>
      </w:r>
      <w:r w:rsidR="00FD401E">
        <w:rPr>
          <w:rFonts w:asciiTheme="minorHAnsi" w:hAnsiTheme="minorHAnsi" w:cstheme="minorHAnsi"/>
          <w:szCs w:val="24"/>
        </w:rPr>
        <w:t xml:space="preserve">opera nella </w:t>
      </w:r>
      <w:r w:rsidR="00D33FE0" w:rsidRPr="00E900B4">
        <w:rPr>
          <w:rFonts w:asciiTheme="minorHAnsi" w:hAnsiTheme="minorHAnsi" w:cstheme="minorHAnsi"/>
          <w:szCs w:val="24"/>
        </w:rPr>
        <w:t xml:space="preserve">filiera ittica, il 15,2% </w:t>
      </w:r>
      <w:r w:rsidR="00FD401E">
        <w:rPr>
          <w:rFonts w:asciiTheme="minorHAnsi" w:hAnsiTheme="minorHAnsi" w:cstheme="minorHAnsi"/>
          <w:szCs w:val="24"/>
        </w:rPr>
        <w:t xml:space="preserve">nel settore </w:t>
      </w:r>
      <w:r w:rsidR="00D33FE0" w:rsidRPr="00E900B4">
        <w:rPr>
          <w:rFonts w:asciiTheme="minorHAnsi" w:hAnsiTheme="minorHAnsi" w:cstheme="minorHAnsi"/>
          <w:szCs w:val="24"/>
        </w:rPr>
        <w:t xml:space="preserve">delle attività sportive e ricreative, il 13,6% </w:t>
      </w:r>
      <w:r w:rsidR="00FD401E">
        <w:rPr>
          <w:rFonts w:asciiTheme="minorHAnsi" w:hAnsiTheme="minorHAnsi" w:cstheme="minorHAnsi"/>
          <w:szCs w:val="24"/>
        </w:rPr>
        <w:t>n</w:t>
      </w:r>
      <w:r w:rsidR="00FD401E" w:rsidRPr="00E900B4">
        <w:rPr>
          <w:rFonts w:asciiTheme="minorHAnsi" w:hAnsiTheme="minorHAnsi" w:cstheme="minorHAnsi"/>
          <w:szCs w:val="24"/>
        </w:rPr>
        <w:t xml:space="preserve">ella </w:t>
      </w:r>
      <w:r w:rsidR="00D33FE0" w:rsidRPr="00E900B4">
        <w:rPr>
          <w:rFonts w:asciiTheme="minorHAnsi" w:hAnsiTheme="minorHAnsi" w:cstheme="minorHAnsi"/>
          <w:szCs w:val="24"/>
        </w:rPr>
        <w:t>cantieristica</w:t>
      </w:r>
      <w:r w:rsidR="00C806F6" w:rsidRPr="00E900B4">
        <w:rPr>
          <w:rFonts w:asciiTheme="minorHAnsi" w:hAnsiTheme="minorHAnsi" w:cstheme="minorHAnsi"/>
          <w:szCs w:val="24"/>
        </w:rPr>
        <w:t xml:space="preserve">, il 5,9% </w:t>
      </w:r>
      <w:r w:rsidR="00D21BF9">
        <w:rPr>
          <w:rFonts w:asciiTheme="minorHAnsi" w:hAnsiTheme="minorHAnsi" w:cstheme="minorHAnsi"/>
          <w:szCs w:val="24"/>
        </w:rPr>
        <w:t>n</w:t>
      </w:r>
      <w:r w:rsidR="00C806F6" w:rsidRPr="00E900B4">
        <w:rPr>
          <w:rFonts w:asciiTheme="minorHAnsi" w:hAnsiTheme="minorHAnsi" w:cstheme="minorHAnsi"/>
          <w:szCs w:val="24"/>
        </w:rPr>
        <w:t>ella movimentazione merci e passeggeri via mare, il</w:t>
      </w:r>
      <w:r w:rsidR="00C716BC" w:rsidRPr="00E900B4">
        <w:rPr>
          <w:rFonts w:asciiTheme="minorHAnsi" w:hAnsiTheme="minorHAnsi" w:cstheme="minorHAnsi"/>
          <w:szCs w:val="24"/>
        </w:rPr>
        <w:t xml:space="preserve"> 3,8%</w:t>
      </w:r>
      <w:r w:rsidR="00C806F6" w:rsidRPr="00E900B4">
        <w:rPr>
          <w:rFonts w:asciiTheme="minorHAnsi" w:hAnsiTheme="minorHAnsi" w:cstheme="minorHAnsi"/>
          <w:szCs w:val="24"/>
        </w:rPr>
        <w:t xml:space="preserve"> </w:t>
      </w:r>
      <w:r w:rsidR="00D21BF9">
        <w:rPr>
          <w:rFonts w:asciiTheme="minorHAnsi" w:hAnsiTheme="minorHAnsi" w:cstheme="minorHAnsi"/>
          <w:szCs w:val="24"/>
        </w:rPr>
        <w:t xml:space="preserve">nelle </w:t>
      </w:r>
      <w:r w:rsidR="00C806F6" w:rsidRPr="00E900B4">
        <w:rPr>
          <w:rFonts w:asciiTheme="minorHAnsi" w:hAnsiTheme="minorHAnsi" w:cstheme="minorHAnsi"/>
          <w:szCs w:val="24"/>
        </w:rPr>
        <w:t>attività di ricerca e tutela ambiente (3,8%)</w:t>
      </w:r>
      <w:r w:rsidR="00C716BC" w:rsidRPr="00E900B4">
        <w:rPr>
          <w:rFonts w:asciiTheme="minorHAnsi" w:hAnsiTheme="minorHAnsi" w:cstheme="minorHAnsi"/>
          <w:szCs w:val="24"/>
        </w:rPr>
        <w:t>, lo</w:t>
      </w:r>
      <w:r w:rsidR="00D33FE0" w:rsidRPr="00E900B4">
        <w:rPr>
          <w:rFonts w:asciiTheme="minorHAnsi" w:hAnsiTheme="minorHAnsi" w:cstheme="minorHAnsi"/>
          <w:szCs w:val="24"/>
        </w:rPr>
        <w:t xml:space="preserve"> </w:t>
      </w:r>
      <w:r w:rsidR="00C806F6" w:rsidRPr="00E900B4">
        <w:rPr>
          <w:rFonts w:asciiTheme="minorHAnsi" w:hAnsiTheme="minorHAnsi" w:cstheme="minorHAnsi"/>
          <w:szCs w:val="24"/>
        </w:rPr>
        <w:t xml:space="preserve">0,2% </w:t>
      </w:r>
      <w:r w:rsidR="00D21BF9">
        <w:rPr>
          <w:rFonts w:asciiTheme="minorHAnsi" w:hAnsiTheme="minorHAnsi" w:cstheme="minorHAnsi"/>
          <w:szCs w:val="24"/>
        </w:rPr>
        <w:t>n</w:t>
      </w:r>
      <w:r w:rsidR="00D21BF9" w:rsidRPr="00E900B4">
        <w:rPr>
          <w:rFonts w:asciiTheme="minorHAnsi" w:hAnsiTheme="minorHAnsi" w:cstheme="minorHAnsi"/>
          <w:szCs w:val="24"/>
        </w:rPr>
        <w:t xml:space="preserve">ell’industria </w:t>
      </w:r>
      <w:r w:rsidR="00C806F6" w:rsidRPr="00E900B4">
        <w:rPr>
          <w:rFonts w:asciiTheme="minorHAnsi" w:hAnsiTheme="minorHAnsi" w:cstheme="minorHAnsi"/>
          <w:szCs w:val="24"/>
        </w:rPr>
        <w:t>delle estrazioni marine.</w:t>
      </w:r>
    </w:p>
    <w:p w14:paraId="3F2C29CD" w14:textId="77777777" w:rsidR="0050294D" w:rsidRPr="00E900B4" w:rsidRDefault="0050294D" w:rsidP="004F7FCF">
      <w:pPr>
        <w:rPr>
          <w:rFonts w:asciiTheme="minorHAnsi" w:hAnsiTheme="minorHAnsi" w:cstheme="minorHAnsi"/>
          <w:szCs w:val="24"/>
        </w:rPr>
      </w:pPr>
    </w:p>
    <w:p w14:paraId="1C4C66AE" w14:textId="77777777" w:rsidR="004F7FCF" w:rsidRPr="00E900B4" w:rsidRDefault="0022565B" w:rsidP="004F7FCF">
      <w:pPr>
        <w:rPr>
          <w:rFonts w:asciiTheme="minorHAnsi" w:hAnsiTheme="minorHAnsi" w:cstheme="minorHAnsi"/>
          <w:szCs w:val="24"/>
        </w:rPr>
      </w:pPr>
      <w:r w:rsidRPr="00E900B4">
        <w:rPr>
          <w:rFonts w:asciiTheme="minorHAnsi" w:hAnsiTheme="minorHAnsi" w:cstheme="minorHAnsi"/>
          <w:szCs w:val="24"/>
        </w:rPr>
        <w:t xml:space="preserve">“Il mare è sempre stato una delle più grandi sfide dell’uomo, spazio da conquistare e nel contempo risorsa da tutelare e proteggere; dalla risorsa mare l’uomo ricava costantemente alimenti, materie prime e anche energia”. È quanto sottolinea </w:t>
      </w:r>
      <w:r w:rsidRPr="00E900B4">
        <w:rPr>
          <w:rFonts w:asciiTheme="minorHAnsi" w:hAnsiTheme="minorHAnsi" w:cstheme="minorHAnsi"/>
          <w:b/>
          <w:szCs w:val="24"/>
        </w:rPr>
        <w:t>Giovanni Acampora, neo Presidente dell’</w:t>
      </w:r>
      <w:proofErr w:type="spellStart"/>
      <w:r w:rsidRPr="00E900B4">
        <w:rPr>
          <w:rFonts w:asciiTheme="minorHAnsi" w:hAnsiTheme="minorHAnsi" w:cstheme="minorHAnsi"/>
          <w:b/>
          <w:szCs w:val="24"/>
        </w:rPr>
        <w:t>Assonautica</w:t>
      </w:r>
      <w:proofErr w:type="spellEnd"/>
      <w:r w:rsidRPr="00E900B4">
        <w:rPr>
          <w:rFonts w:asciiTheme="minorHAnsi" w:hAnsiTheme="minorHAnsi" w:cstheme="minorHAnsi"/>
          <w:b/>
          <w:szCs w:val="24"/>
        </w:rPr>
        <w:t xml:space="preserve"> Nazionale</w:t>
      </w:r>
      <w:r w:rsidRPr="00E900B4">
        <w:rPr>
          <w:rFonts w:asciiTheme="minorHAnsi" w:hAnsiTheme="minorHAnsi" w:cstheme="minorHAnsi"/>
          <w:szCs w:val="24"/>
        </w:rPr>
        <w:t xml:space="preserve"> </w:t>
      </w:r>
      <w:r w:rsidR="00FD6EFC" w:rsidRPr="00E900B4">
        <w:rPr>
          <w:rFonts w:asciiTheme="minorHAnsi" w:hAnsiTheme="minorHAnsi" w:cstheme="minorHAnsi"/>
          <w:szCs w:val="24"/>
        </w:rPr>
        <w:t xml:space="preserve">e </w:t>
      </w:r>
      <w:r w:rsidR="00FD6EFC" w:rsidRPr="00E900B4">
        <w:rPr>
          <w:rFonts w:asciiTheme="minorHAnsi" w:hAnsiTheme="minorHAnsi" w:cstheme="minorHAnsi"/>
          <w:b/>
          <w:szCs w:val="24"/>
        </w:rPr>
        <w:t>presidente della Camera di commercio Frosinone-Latina</w:t>
      </w:r>
      <w:r w:rsidR="00FD6EFC" w:rsidRPr="00E900B4">
        <w:rPr>
          <w:rFonts w:asciiTheme="minorHAnsi" w:hAnsiTheme="minorHAnsi" w:cstheme="minorHAnsi"/>
          <w:szCs w:val="24"/>
        </w:rPr>
        <w:t xml:space="preserve"> - </w:t>
      </w:r>
      <w:r w:rsidRPr="00E900B4">
        <w:rPr>
          <w:rFonts w:asciiTheme="minorHAnsi" w:hAnsiTheme="minorHAnsi" w:cstheme="minorHAnsi"/>
          <w:szCs w:val="24"/>
        </w:rPr>
        <w:t>che aggiunge “così, il mare, presentandosi come un’importante leva sulla quale fondare parte dello sviluppo economico, deve stimolare un attento studio su tutte quelle attività che sono il frutto, o possono trovare giovamento, dalla presenza di questa risorsa”.</w:t>
      </w:r>
    </w:p>
    <w:p w14:paraId="3A0BE672" w14:textId="77777777" w:rsidR="0022565B" w:rsidRPr="00E900B4" w:rsidRDefault="0022565B" w:rsidP="004F7FCF">
      <w:pPr>
        <w:rPr>
          <w:rFonts w:asciiTheme="minorHAnsi" w:hAnsiTheme="minorHAnsi" w:cstheme="minorHAnsi"/>
          <w:szCs w:val="24"/>
        </w:rPr>
      </w:pPr>
    </w:p>
    <w:p w14:paraId="759476F5" w14:textId="02FAFEA3" w:rsidR="004F7FCF" w:rsidRPr="00E900B4" w:rsidRDefault="004F7FCF" w:rsidP="004F7FCF">
      <w:pPr>
        <w:rPr>
          <w:rFonts w:asciiTheme="minorHAnsi" w:hAnsiTheme="minorHAnsi" w:cstheme="minorHAnsi"/>
          <w:szCs w:val="24"/>
        </w:rPr>
      </w:pPr>
      <w:r w:rsidRPr="00E900B4">
        <w:rPr>
          <w:rFonts w:asciiTheme="minorHAnsi" w:hAnsiTheme="minorHAnsi" w:cstheme="minorHAnsi"/>
          <w:szCs w:val="24"/>
        </w:rPr>
        <w:t xml:space="preserve">L’economia blu genera un valore aggiunto di 46,7 miliardi di euro, il 3,0% del totale economia (nel 2014 era il 2,9%), ma considerando gli effetti diretti e indiretti - per ogni euro prodotto direttamente si ha un effetto </w:t>
      </w:r>
      <w:r w:rsidRPr="00E900B4">
        <w:rPr>
          <w:rFonts w:asciiTheme="minorHAnsi" w:hAnsiTheme="minorHAnsi" w:cstheme="minorHAnsi"/>
          <w:b/>
          <w:szCs w:val="24"/>
        </w:rPr>
        <w:t xml:space="preserve">moltiplicatore di filiera pari a 1,9- si arriva ad un </w:t>
      </w:r>
      <w:r w:rsidRPr="00E900B4">
        <w:rPr>
          <w:rFonts w:asciiTheme="minorHAnsi" w:hAnsiTheme="minorHAnsi" w:cstheme="minorHAnsi"/>
          <w:b/>
          <w:szCs w:val="24"/>
        </w:rPr>
        <w:lastRenderedPageBreak/>
        <w:t>valore aggiunto prodotto complessivo di 134,5 miliardi di euro: l’8,5% del totale dell’economia</w:t>
      </w:r>
      <w:r w:rsidRPr="00E900B4">
        <w:rPr>
          <w:rFonts w:asciiTheme="minorHAnsi" w:hAnsiTheme="minorHAnsi" w:cstheme="minorHAnsi"/>
          <w:szCs w:val="24"/>
        </w:rPr>
        <w:t>. La movimentazione di merci e passeggeri via mare è il comparto a maggiore capacità moltiplicativa, dove ogni euro prodotto ne attiva 2,8 sul resto dell’economia. Altri settori dalla elevata capacità moltiplicativa sono quelli della cantieristica (moltiplicatore 2,4) e delle attività sportive e ricreative (moltiplicatore 2,1).</w:t>
      </w:r>
    </w:p>
    <w:p w14:paraId="5BA48326" w14:textId="77777777" w:rsidR="004F7FCF" w:rsidRPr="00E900B4" w:rsidRDefault="004F7FCF" w:rsidP="004F7FCF">
      <w:pPr>
        <w:rPr>
          <w:rFonts w:asciiTheme="minorHAnsi" w:hAnsiTheme="minorHAnsi" w:cstheme="minorHAnsi"/>
          <w:szCs w:val="24"/>
        </w:rPr>
      </w:pPr>
    </w:p>
    <w:p w14:paraId="5148233E" w14:textId="77777777" w:rsidR="004F7FCF" w:rsidRPr="00E900B4" w:rsidRDefault="004F7FCF" w:rsidP="004F7FCF">
      <w:pPr>
        <w:pStyle w:val="Default"/>
        <w:jc w:val="both"/>
        <w:rPr>
          <w:rFonts w:asciiTheme="minorHAnsi" w:hAnsiTheme="minorHAnsi" w:cstheme="minorHAnsi"/>
          <w:b/>
          <w:color w:val="auto"/>
        </w:rPr>
      </w:pPr>
      <w:r w:rsidRPr="00E900B4">
        <w:rPr>
          <w:rFonts w:asciiTheme="minorHAnsi" w:hAnsiTheme="minorHAnsi" w:cstheme="minorHAnsi"/>
          <w:b/>
          <w:color w:val="auto"/>
        </w:rPr>
        <w:t xml:space="preserve">4 lavori su 5 richiedono </w:t>
      </w:r>
      <w:proofErr w:type="spellStart"/>
      <w:r w:rsidRPr="00E900B4">
        <w:rPr>
          <w:rFonts w:asciiTheme="minorHAnsi" w:hAnsiTheme="minorHAnsi" w:cstheme="minorHAnsi"/>
          <w:b/>
          <w:color w:val="auto"/>
        </w:rPr>
        <w:t>skill</w:t>
      </w:r>
      <w:proofErr w:type="spellEnd"/>
      <w:r w:rsidRPr="00E900B4">
        <w:rPr>
          <w:rFonts w:asciiTheme="minorHAnsi" w:hAnsiTheme="minorHAnsi" w:cstheme="minorHAnsi"/>
          <w:b/>
          <w:color w:val="auto"/>
        </w:rPr>
        <w:t xml:space="preserve"> verdi   </w:t>
      </w:r>
    </w:p>
    <w:p w14:paraId="577CE494" w14:textId="20091E5C" w:rsidR="004F7FCF" w:rsidRPr="00E900B4" w:rsidRDefault="004F7FCF" w:rsidP="004F7FCF">
      <w:pPr>
        <w:pStyle w:val="Default"/>
        <w:jc w:val="both"/>
        <w:rPr>
          <w:rFonts w:asciiTheme="minorHAnsi" w:hAnsiTheme="minorHAnsi" w:cstheme="minorHAnsi"/>
          <w:color w:val="auto"/>
        </w:rPr>
      </w:pPr>
      <w:r w:rsidRPr="00E900B4">
        <w:rPr>
          <w:rFonts w:asciiTheme="minorHAnsi" w:hAnsiTheme="minorHAnsi" w:cstheme="minorHAnsi"/>
          <w:color w:val="auto"/>
        </w:rPr>
        <w:t xml:space="preserve">Risparmio energetico e sostenibilità ambientale, sono </w:t>
      </w:r>
      <w:proofErr w:type="spellStart"/>
      <w:r w:rsidRPr="00E900B4">
        <w:rPr>
          <w:rFonts w:asciiTheme="minorHAnsi" w:hAnsiTheme="minorHAnsi" w:cstheme="minorHAnsi"/>
          <w:color w:val="auto"/>
        </w:rPr>
        <w:t>skill</w:t>
      </w:r>
      <w:proofErr w:type="spellEnd"/>
      <w:r w:rsidRPr="00E900B4">
        <w:rPr>
          <w:rFonts w:asciiTheme="minorHAnsi" w:hAnsiTheme="minorHAnsi" w:cstheme="minorHAnsi"/>
          <w:color w:val="auto"/>
        </w:rPr>
        <w:t xml:space="preserve"> centrali per trovare lavoro nella Blu</w:t>
      </w:r>
      <w:r w:rsidR="00D21BF9">
        <w:rPr>
          <w:rFonts w:asciiTheme="minorHAnsi" w:hAnsiTheme="minorHAnsi" w:cstheme="minorHAnsi"/>
          <w:color w:val="auto"/>
        </w:rPr>
        <w:t>e</w:t>
      </w:r>
      <w:r w:rsidRPr="00E900B4">
        <w:rPr>
          <w:rFonts w:asciiTheme="minorHAnsi" w:hAnsiTheme="minorHAnsi" w:cstheme="minorHAnsi"/>
          <w:color w:val="auto"/>
        </w:rPr>
        <w:t xml:space="preserve"> economy: l’81,4% delle ricerche di lavoro richiede competenze green. </w:t>
      </w:r>
      <w:r w:rsidR="006307F2" w:rsidRPr="00E900B4">
        <w:rPr>
          <w:rFonts w:asciiTheme="minorHAnsi" w:hAnsiTheme="minorHAnsi" w:cstheme="minorHAnsi"/>
          <w:color w:val="auto"/>
        </w:rPr>
        <w:t>È</w:t>
      </w:r>
      <w:r w:rsidRPr="00E900B4">
        <w:rPr>
          <w:rFonts w:asciiTheme="minorHAnsi" w:hAnsiTheme="minorHAnsi" w:cstheme="minorHAnsi"/>
          <w:color w:val="auto"/>
        </w:rPr>
        <w:t xml:space="preserve"> quanto emerge nel volume “Economia del Mare e Green Deal”, realizzato da </w:t>
      </w:r>
      <w:proofErr w:type="spellStart"/>
      <w:r w:rsidRPr="00E900B4">
        <w:rPr>
          <w:rFonts w:asciiTheme="minorHAnsi" w:hAnsiTheme="minorHAnsi" w:cstheme="minorHAnsi"/>
          <w:color w:val="auto"/>
        </w:rPr>
        <w:t>Unioncamere</w:t>
      </w:r>
      <w:proofErr w:type="spellEnd"/>
      <w:r w:rsidRPr="00E900B4">
        <w:rPr>
          <w:rFonts w:asciiTheme="minorHAnsi" w:hAnsiTheme="minorHAnsi" w:cstheme="minorHAnsi"/>
          <w:color w:val="auto"/>
        </w:rPr>
        <w:t xml:space="preserve"> sulla base dei risultati delle indagini </w:t>
      </w:r>
      <w:proofErr w:type="spellStart"/>
      <w:r w:rsidRPr="00E900B4">
        <w:rPr>
          <w:rFonts w:asciiTheme="minorHAnsi" w:hAnsiTheme="minorHAnsi" w:cstheme="minorHAnsi"/>
          <w:color w:val="auto"/>
        </w:rPr>
        <w:t>Excelsior</w:t>
      </w:r>
      <w:proofErr w:type="spellEnd"/>
      <w:r w:rsidRPr="00E900B4">
        <w:rPr>
          <w:rFonts w:asciiTheme="minorHAnsi" w:hAnsiTheme="minorHAnsi" w:cstheme="minorHAnsi"/>
          <w:color w:val="auto"/>
        </w:rPr>
        <w:t xml:space="preserve"> 2019.</w:t>
      </w:r>
    </w:p>
    <w:p w14:paraId="6D59E08C" w14:textId="77777777" w:rsidR="004F7FCF" w:rsidRPr="00E900B4" w:rsidRDefault="004F7FCF" w:rsidP="004F7FCF">
      <w:pPr>
        <w:pStyle w:val="Default"/>
        <w:jc w:val="both"/>
        <w:rPr>
          <w:rFonts w:asciiTheme="minorHAnsi" w:hAnsiTheme="minorHAnsi" w:cstheme="minorHAnsi"/>
          <w:color w:val="auto"/>
        </w:rPr>
      </w:pPr>
    </w:p>
    <w:p w14:paraId="2C085272" w14:textId="77777777" w:rsidR="004F7FCF" w:rsidRPr="00E900B4" w:rsidRDefault="004F7FCF" w:rsidP="004F7FCF">
      <w:pPr>
        <w:pStyle w:val="Default"/>
        <w:jc w:val="both"/>
        <w:rPr>
          <w:rFonts w:asciiTheme="minorHAnsi" w:hAnsiTheme="minorHAnsi" w:cstheme="minorHAnsi"/>
          <w:b/>
          <w:color w:val="auto"/>
        </w:rPr>
      </w:pPr>
      <w:r w:rsidRPr="00E900B4">
        <w:rPr>
          <w:rFonts w:asciiTheme="minorHAnsi" w:hAnsiTheme="minorHAnsi" w:cstheme="minorHAnsi"/>
          <w:b/>
          <w:color w:val="auto"/>
        </w:rPr>
        <w:t xml:space="preserve">Agli under 44 va la metà delle posizioni ricercate </w:t>
      </w:r>
    </w:p>
    <w:p w14:paraId="564FB55B" w14:textId="77777777" w:rsidR="004F7FCF" w:rsidRPr="00E900B4" w:rsidRDefault="004F7FCF" w:rsidP="004F7FCF">
      <w:pPr>
        <w:pStyle w:val="Default"/>
        <w:jc w:val="both"/>
        <w:rPr>
          <w:rFonts w:asciiTheme="minorHAnsi" w:hAnsiTheme="minorHAnsi" w:cstheme="minorHAnsi"/>
          <w:color w:val="auto"/>
        </w:rPr>
      </w:pPr>
      <w:r w:rsidRPr="00E900B4">
        <w:rPr>
          <w:rFonts w:asciiTheme="minorHAnsi" w:hAnsiTheme="minorHAnsi" w:cstheme="minorHAnsi"/>
          <w:color w:val="auto"/>
        </w:rPr>
        <w:t xml:space="preserve">Il fabbisogno di professioni della Blue Economy espresso dalle imprese è rivolto di gran lunga a giovani (fino a 29 anni 29,6%) e giovani adulti (30-44 anni 24,8%). </w:t>
      </w:r>
      <w:proofErr w:type="gramStart"/>
      <w:r w:rsidRPr="00E900B4">
        <w:rPr>
          <w:rFonts w:asciiTheme="minorHAnsi" w:hAnsiTheme="minorHAnsi" w:cstheme="minorHAnsi"/>
          <w:color w:val="auto"/>
        </w:rPr>
        <w:t>E’</w:t>
      </w:r>
      <w:proofErr w:type="gramEnd"/>
      <w:r w:rsidRPr="00E900B4">
        <w:rPr>
          <w:rFonts w:asciiTheme="minorHAnsi" w:hAnsiTheme="minorHAnsi" w:cstheme="minorHAnsi"/>
          <w:color w:val="auto"/>
        </w:rPr>
        <w:t xml:space="preserve"> il riflesso evidente del peso che i servizi di alloggio e ristorazione hanno nell’economia del mare </w:t>
      </w:r>
      <w:r w:rsidR="00784174">
        <w:rPr>
          <w:rFonts w:asciiTheme="minorHAnsi" w:hAnsiTheme="minorHAnsi" w:cstheme="minorHAnsi"/>
          <w:color w:val="auto"/>
        </w:rPr>
        <w:t xml:space="preserve">del </w:t>
      </w:r>
      <w:r w:rsidRPr="00E900B4">
        <w:rPr>
          <w:rFonts w:asciiTheme="minorHAnsi" w:hAnsiTheme="minorHAnsi" w:cstheme="minorHAnsi"/>
          <w:color w:val="auto"/>
        </w:rPr>
        <w:t xml:space="preserve">nostro Paese (la domanda di giovani fino a 29 anni sale al 30,4%), settore in cui intraprendenza e capacità relazionali, virtù proprie dei giovani, sono indispensabili. </w:t>
      </w:r>
    </w:p>
    <w:p w14:paraId="4AED4B02" w14:textId="77777777" w:rsidR="004F7FCF" w:rsidRPr="00E900B4" w:rsidRDefault="004F7FCF" w:rsidP="004F7FCF">
      <w:pPr>
        <w:pStyle w:val="Default"/>
        <w:jc w:val="both"/>
        <w:rPr>
          <w:rFonts w:asciiTheme="minorHAnsi" w:hAnsiTheme="minorHAnsi" w:cstheme="minorHAnsi"/>
          <w:b/>
          <w:color w:val="auto"/>
        </w:rPr>
      </w:pPr>
    </w:p>
    <w:p w14:paraId="0C637B99" w14:textId="77777777" w:rsidR="004F7FCF" w:rsidRPr="00E900B4" w:rsidRDefault="004F7FCF" w:rsidP="004F7FCF">
      <w:pPr>
        <w:pStyle w:val="Default"/>
        <w:jc w:val="both"/>
        <w:rPr>
          <w:rFonts w:asciiTheme="minorHAnsi" w:hAnsiTheme="minorHAnsi" w:cstheme="minorHAnsi"/>
          <w:b/>
          <w:color w:val="auto"/>
        </w:rPr>
      </w:pPr>
      <w:r w:rsidRPr="00E900B4">
        <w:rPr>
          <w:rFonts w:asciiTheme="minorHAnsi" w:hAnsiTheme="minorHAnsi" w:cstheme="minorHAnsi"/>
          <w:b/>
          <w:color w:val="auto"/>
        </w:rPr>
        <w:t xml:space="preserve">L’esperienza conta per 7 assunzioni su 10 </w:t>
      </w:r>
    </w:p>
    <w:p w14:paraId="32E7F494" w14:textId="3144C507" w:rsidR="004F7FCF" w:rsidRPr="00FC297E" w:rsidRDefault="004F7FCF" w:rsidP="006307F2">
      <w:pPr>
        <w:pStyle w:val="Default"/>
        <w:jc w:val="both"/>
        <w:rPr>
          <w:rFonts w:asciiTheme="minorHAnsi" w:hAnsiTheme="minorHAnsi" w:cstheme="minorHAnsi"/>
          <w:color w:val="auto"/>
        </w:rPr>
      </w:pPr>
      <w:r w:rsidRPr="00E900B4">
        <w:rPr>
          <w:rFonts w:asciiTheme="minorHAnsi" w:hAnsiTheme="minorHAnsi" w:cstheme="minorHAnsi"/>
          <w:color w:val="auto"/>
        </w:rPr>
        <w:t xml:space="preserve">Un pregresso bagaglio lavorativo è requisito importante: al 67,6% delle entrate è richiesta una esperienza specifica, quota che sale al 73% nel caso </w:t>
      </w:r>
      <w:r w:rsidRPr="00E900B4">
        <w:rPr>
          <w:rFonts w:asciiTheme="minorHAnsi" w:hAnsiTheme="minorHAnsi" w:cstheme="minorHAnsi"/>
        </w:rPr>
        <w:t xml:space="preserve">della cantieristica, dove i complessi metodi di produzione </w:t>
      </w:r>
      <w:r w:rsidRPr="00E900B4">
        <w:rPr>
          <w:rFonts w:asciiTheme="minorHAnsi" w:hAnsiTheme="minorHAnsi" w:cstheme="minorHAnsi"/>
          <w:color w:val="auto"/>
        </w:rPr>
        <w:t xml:space="preserve">implicano </w:t>
      </w:r>
      <w:proofErr w:type="spellStart"/>
      <w:r w:rsidRPr="00E900B4">
        <w:rPr>
          <w:rFonts w:asciiTheme="minorHAnsi" w:hAnsiTheme="minorHAnsi" w:cstheme="minorHAnsi"/>
          <w:color w:val="auto"/>
        </w:rPr>
        <w:t>technicalities</w:t>
      </w:r>
      <w:proofErr w:type="spellEnd"/>
      <w:r w:rsidRPr="00E900B4">
        <w:rPr>
          <w:rFonts w:asciiTheme="minorHAnsi" w:hAnsiTheme="minorHAnsi" w:cstheme="minorHAnsi"/>
          <w:color w:val="auto"/>
        </w:rPr>
        <w:t xml:space="preserve"> e competenze specifiche</w:t>
      </w:r>
      <w:r w:rsidR="00F75B18">
        <w:rPr>
          <w:rFonts w:asciiTheme="minorHAnsi" w:hAnsiTheme="minorHAnsi" w:cstheme="minorHAnsi"/>
        </w:rPr>
        <w:t xml:space="preserve"> </w:t>
      </w:r>
      <w:r w:rsidRPr="00E900B4">
        <w:rPr>
          <w:rFonts w:asciiTheme="minorHAnsi" w:hAnsiTheme="minorHAnsi" w:cstheme="minorHAnsi"/>
          <w:color w:val="auto"/>
        </w:rPr>
        <w:t>acquisibili solo con l’esperienza.</w:t>
      </w:r>
    </w:p>
    <w:p w14:paraId="079E9B0D" w14:textId="77777777" w:rsidR="004F7FCF" w:rsidRPr="00FC297E" w:rsidRDefault="004F7FCF" w:rsidP="004F7FCF">
      <w:pPr>
        <w:pStyle w:val="Default"/>
        <w:jc w:val="both"/>
        <w:rPr>
          <w:rFonts w:asciiTheme="minorHAnsi" w:hAnsiTheme="minorHAnsi" w:cstheme="minorHAnsi"/>
          <w:color w:val="auto"/>
        </w:rPr>
      </w:pPr>
    </w:p>
    <w:p w14:paraId="6AAEE78F" w14:textId="77777777" w:rsidR="004F7FCF" w:rsidRPr="00FC297E" w:rsidRDefault="004F7FCF" w:rsidP="004F7FCF">
      <w:pPr>
        <w:pStyle w:val="Default"/>
        <w:jc w:val="center"/>
        <w:rPr>
          <w:rFonts w:asciiTheme="minorHAnsi" w:hAnsiTheme="minorHAnsi" w:cstheme="minorHAnsi"/>
          <w:i/>
          <w:iCs/>
          <w:color w:val="262626"/>
        </w:rPr>
      </w:pPr>
    </w:p>
    <w:p w14:paraId="52F64EBC" w14:textId="77777777" w:rsidR="004F7FCF" w:rsidRPr="00FC297E" w:rsidRDefault="004F7FCF" w:rsidP="004F7FCF">
      <w:pPr>
        <w:pStyle w:val="Default"/>
        <w:jc w:val="both"/>
        <w:rPr>
          <w:rFonts w:asciiTheme="minorHAnsi" w:hAnsiTheme="minorHAnsi" w:cstheme="minorHAnsi"/>
          <w:b/>
        </w:rPr>
      </w:pPr>
      <w:r w:rsidRPr="00FC297E">
        <w:rPr>
          <w:rFonts w:asciiTheme="minorHAnsi" w:hAnsiTheme="minorHAnsi" w:cstheme="minorHAnsi"/>
          <w:b/>
        </w:rPr>
        <w:t xml:space="preserve">Qualifica professionale </w:t>
      </w:r>
      <w:r w:rsidR="00EE02C9" w:rsidRPr="00FC297E">
        <w:rPr>
          <w:rFonts w:asciiTheme="minorHAnsi" w:hAnsiTheme="minorHAnsi" w:cstheme="minorHAnsi"/>
          <w:b/>
        </w:rPr>
        <w:t xml:space="preserve">apre le porte al </w:t>
      </w:r>
      <w:r w:rsidRPr="00FC297E">
        <w:rPr>
          <w:rFonts w:asciiTheme="minorHAnsi" w:hAnsiTheme="minorHAnsi" w:cstheme="minorHAnsi"/>
          <w:b/>
        </w:rPr>
        <w:t>60% dei candidati</w:t>
      </w:r>
    </w:p>
    <w:p w14:paraId="4E3770D1" w14:textId="77777777" w:rsidR="004F7FCF" w:rsidRPr="00FC297E" w:rsidRDefault="004F7FCF" w:rsidP="006307F2">
      <w:pPr>
        <w:pStyle w:val="Default"/>
        <w:jc w:val="both"/>
        <w:rPr>
          <w:rFonts w:asciiTheme="minorHAnsi" w:hAnsiTheme="minorHAnsi" w:cstheme="minorHAnsi"/>
        </w:rPr>
      </w:pPr>
      <w:r w:rsidRPr="00FC297E">
        <w:rPr>
          <w:rFonts w:asciiTheme="minorHAnsi" w:hAnsiTheme="minorHAnsi" w:cstheme="minorHAnsi"/>
          <w:color w:val="auto"/>
        </w:rPr>
        <w:t>Le evidenze risultanti dall’analisi per titolo di studio sono ampiamente confermate dalle professioni richieste dalle varie branche economiche che compongono la filiera della Blue</w:t>
      </w:r>
      <w:r w:rsidRPr="00FC297E">
        <w:rPr>
          <w:rFonts w:asciiTheme="minorHAnsi" w:hAnsiTheme="minorHAnsi" w:cstheme="minorHAnsi"/>
        </w:rPr>
        <w:t xml:space="preserve"> Economy. Un’analisi che, per quanto riferita all’era </w:t>
      </w:r>
      <w:proofErr w:type="spellStart"/>
      <w:r w:rsidRPr="00FC297E">
        <w:rPr>
          <w:rFonts w:asciiTheme="minorHAnsi" w:hAnsiTheme="minorHAnsi" w:cstheme="minorHAnsi"/>
        </w:rPr>
        <w:t>pre-Covid</w:t>
      </w:r>
      <w:proofErr w:type="spellEnd"/>
      <w:r w:rsidRPr="00FC297E">
        <w:rPr>
          <w:rFonts w:asciiTheme="minorHAnsi" w:hAnsiTheme="minorHAnsi" w:cstheme="minorHAnsi"/>
        </w:rPr>
        <w:t xml:space="preserve">, fornisce indicazioni anche sui trend futuri.  </w:t>
      </w:r>
    </w:p>
    <w:p w14:paraId="3FEFD8B1" w14:textId="77777777" w:rsidR="004F7FCF" w:rsidRPr="00FC297E" w:rsidRDefault="004F7FCF" w:rsidP="006307F2">
      <w:pPr>
        <w:pStyle w:val="Default"/>
        <w:jc w:val="both"/>
        <w:rPr>
          <w:rFonts w:asciiTheme="minorHAnsi" w:hAnsiTheme="minorHAnsi" w:cstheme="minorHAnsi"/>
        </w:rPr>
      </w:pPr>
      <w:r w:rsidRPr="00FC297E">
        <w:rPr>
          <w:rFonts w:asciiTheme="minorHAnsi" w:hAnsiTheme="minorHAnsi" w:cstheme="minorHAnsi"/>
        </w:rPr>
        <w:t>Ben il 60% delle entrate programmate per il 2019 hanno interessato figure con una qualifica professionale, un dato che riflette la forte “anima” turistica dell’economia del mare, mentre la domanda di risorse con livello universitario o superiore si ferma al 2,9%. Rappresenta un’eccezione la filiera della cantieristica (il 16,4% delle entrate programmate è rivolto a laureati), un settore dove tecnologia e competitività rendono maggiormente necessari innesti nella forza lavoro di soggetti dal più elevato grado di istruzione.</w:t>
      </w:r>
    </w:p>
    <w:p w14:paraId="6F58E52D" w14:textId="77777777" w:rsidR="009913AD" w:rsidRPr="00FC297E" w:rsidRDefault="009913AD" w:rsidP="004F7FCF">
      <w:pPr>
        <w:pStyle w:val="Default"/>
        <w:rPr>
          <w:rFonts w:asciiTheme="minorHAnsi" w:hAnsiTheme="minorHAnsi" w:cstheme="minorHAnsi"/>
        </w:rPr>
      </w:pPr>
    </w:p>
    <w:p w14:paraId="405CD83F" w14:textId="77777777" w:rsidR="00113CA9" w:rsidRDefault="00113CA9" w:rsidP="004F7FCF">
      <w:pPr>
        <w:pStyle w:val="Default"/>
        <w:rPr>
          <w:rFonts w:ascii="Times New Roman" w:hAnsi="Times New Roman" w:cs="Times New Roman"/>
        </w:rPr>
      </w:pPr>
    </w:p>
    <w:p w14:paraId="44E0CE1D" w14:textId="77777777" w:rsidR="00113CA9" w:rsidRDefault="00113CA9" w:rsidP="004F7FCF">
      <w:pPr>
        <w:pStyle w:val="Default"/>
        <w:rPr>
          <w:rFonts w:ascii="Times New Roman" w:hAnsi="Times New Roman" w:cs="Times New Roman"/>
        </w:rPr>
      </w:pPr>
    </w:p>
    <w:p w14:paraId="7F501795" w14:textId="77777777" w:rsidR="00113CA9" w:rsidRDefault="00113CA9" w:rsidP="004F7FCF">
      <w:pPr>
        <w:pStyle w:val="Default"/>
        <w:rPr>
          <w:rFonts w:ascii="Times New Roman" w:hAnsi="Times New Roman" w:cs="Times New Roman"/>
        </w:rPr>
      </w:pPr>
    </w:p>
    <w:p w14:paraId="3EA5A24B" w14:textId="77777777" w:rsidR="00113CA9" w:rsidRDefault="00113CA9" w:rsidP="004F7FCF">
      <w:pPr>
        <w:pStyle w:val="Default"/>
        <w:rPr>
          <w:rFonts w:ascii="Times New Roman" w:hAnsi="Times New Roman" w:cs="Times New Roman"/>
        </w:rPr>
      </w:pPr>
    </w:p>
    <w:p w14:paraId="734FF820" w14:textId="77777777" w:rsidR="00113CA9" w:rsidRDefault="00113CA9" w:rsidP="004F7FCF">
      <w:pPr>
        <w:pStyle w:val="Default"/>
        <w:rPr>
          <w:rFonts w:ascii="Times New Roman" w:hAnsi="Times New Roman" w:cs="Times New Roman"/>
        </w:rPr>
      </w:pPr>
    </w:p>
    <w:p w14:paraId="5DEEDE82" w14:textId="77777777" w:rsidR="00113CA9" w:rsidRDefault="00113CA9" w:rsidP="004F7FCF">
      <w:pPr>
        <w:pStyle w:val="Default"/>
        <w:rPr>
          <w:rFonts w:ascii="Times New Roman" w:hAnsi="Times New Roman" w:cs="Times New Roman"/>
        </w:rPr>
      </w:pPr>
    </w:p>
    <w:p w14:paraId="2FDAF6DF" w14:textId="77777777" w:rsidR="00113CA9" w:rsidRDefault="00113CA9" w:rsidP="004F7FCF">
      <w:pPr>
        <w:pStyle w:val="Default"/>
        <w:rPr>
          <w:rFonts w:ascii="Times New Roman" w:hAnsi="Times New Roman" w:cs="Times New Roman"/>
        </w:rPr>
      </w:pPr>
    </w:p>
    <w:p w14:paraId="7E3D9416" w14:textId="77777777" w:rsidR="00113CA9" w:rsidRDefault="00113CA9" w:rsidP="004F7FCF">
      <w:pPr>
        <w:pStyle w:val="Default"/>
        <w:rPr>
          <w:rFonts w:ascii="Times New Roman" w:hAnsi="Times New Roman" w:cs="Times New Roman"/>
        </w:rPr>
      </w:pPr>
    </w:p>
    <w:p w14:paraId="1B671059" w14:textId="77777777" w:rsidR="00113CA9" w:rsidRDefault="00113CA9" w:rsidP="004F7FCF">
      <w:pPr>
        <w:pStyle w:val="Default"/>
        <w:rPr>
          <w:rFonts w:ascii="Times New Roman" w:hAnsi="Times New Roman" w:cs="Times New Roman"/>
        </w:rPr>
      </w:pPr>
    </w:p>
    <w:p w14:paraId="5BEADFA7" w14:textId="77777777" w:rsidR="00113CA9" w:rsidRDefault="00113CA9" w:rsidP="004F7FCF">
      <w:pPr>
        <w:pStyle w:val="Default"/>
        <w:rPr>
          <w:rFonts w:ascii="Times New Roman" w:hAnsi="Times New Roman" w:cs="Times New Roman"/>
        </w:rPr>
      </w:pPr>
    </w:p>
    <w:p w14:paraId="5C92E1C8" w14:textId="77777777" w:rsidR="00113CA9" w:rsidRDefault="00113CA9" w:rsidP="004F7FCF">
      <w:pPr>
        <w:pStyle w:val="Default"/>
        <w:rPr>
          <w:rFonts w:ascii="Times New Roman" w:hAnsi="Times New Roman" w:cs="Times New Roman"/>
        </w:rPr>
      </w:pPr>
    </w:p>
    <w:p w14:paraId="09ECA6E0" w14:textId="77777777" w:rsidR="00DF6E00" w:rsidRPr="006E0464" w:rsidRDefault="009913AD" w:rsidP="00DF6E00">
      <w:pPr>
        <w:pStyle w:val="Default"/>
        <w:jc w:val="both"/>
        <w:rPr>
          <w:rFonts w:ascii="Times New Roman" w:hAnsi="Times New Roman" w:cs="Times New Roman"/>
          <w:b/>
          <w:bCs/>
          <w:i/>
          <w:iCs/>
          <w:color w:val="auto"/>
        </w:rPr>
      </w:pPr>
      <w:r>
        <w:rPr>
          <w:rFonts w:ascii="Times New Roman" w:hAnsi="Times New Roman" w:cs="Times New Roman"/>
          <w:b/>
          <w:bCs/>
          <w:i/>
          <w:iCs/>
          <w:color w:val="auto"/>
        </w:rPr>
        <w:t>C</w:t>
      </w:r>
      <w:r w:rsidR="00DF6E00" w:rsidRPr="006E0464">
        <w:rPr>
          <w:rFonts w:ascii="Times New Roman" w:hAnsi="Times New Roman" w:cs="Times New Roman"/>
          <w:b/>
          <w:bCs/>
          <w:i/>
          <w:iCs/>
          <w:color w:val="auto"/>
        </w:rPr>
        <w:t>apacità di attivazione dell’economia da parte dei settori della Blue Economy</w:t>
      </w:r>
    </w:p>
    <w:p w14:paraId="56CAA475" w14:textId="77777777" w:rsidR="00DF6E00" w:rsidRDefault="00DF6E00" w:rsidP="00DF6E00">
      <w:pPr>
        <w:pStyle w:val="Default"/>
        <w:jc w:val="both"/>
        <w:rPr>
          <w:rFonts w:ascii="Times New Roman" w:hAnsi="Times New Roman" w:cs="Times New Roman"/>
          <w:color w:val="auto"/>
        </w:rPr>
      </w:pPr>
      <w:r w:rsidRPr="006E0464">
        <w:rPr>
          <w:rFonts w:ascii="Times New Roman" w:hAnsi="Times New Roman" w:cs="Times New Roman"/>
          <w:noProof/>
        </w:rPr>
        <w:drawing>
          <wp:inline distT="0" distB="0" distL="0" distR="0" wp14:anchorId="71FDDD61" wp14:editId="3322C661">
            <wp:extent cx="5850890" cy="1924216"/>
            <wp:effectExtent l="0" t="0" r="0" b="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14087A" w14:textId="46C3AC4B" w:rsidR="00025355" w:rsidRDefault="00DF6E00" w:rsidP="00AC08E2">
      <w:pPr>
        <w:rPr>
          <w:i/>
          <w:iCs/>
        </w:rPr>
      </w:pPr>
      <w:r w:rsidRPr="00B8343D">
        <w:rPr>
          <w:i/>
        </w:rPr>
        <w:t xml:space="preserve">Fonte: </w:t>
      </w:r>
      <w:r w:rsidRPr="00B8343D">
        <w:rPr>
          <w:i/>
          <w:iCs/>
        </w:rPr>
        <w:t>VIII Rapporto sull’</w:t>
      </w:r>
      <w:r w:rsidR="00B27CD5">
        <w:rPr>
          <w:i/>
          <w:iCs/>
        </w:rPr>
        <w:t xml:space="preserve">Economia del Mare </w:t>
      </w:r>
      <w:r w:rsidRPr="00B8343D">
        <w:rPr>
          <w:i/>
          <w:iCs/>
        </w:rPr>
        <w:t>2019</w:t>
      </w:r>
    </w:p>
    <w:p w14:paraId="16960059" w14:textId="77777777" w:rsidR="009913AD" w:rsidRDefault="009913AD" w:rsidP="00AC08E2">
      <w:pPr>
        <w:rPr>
          <w:i/>
          <w:iCs/>
        </w:rPr>
      </w:pPr>
    </w:p>
    <w:p w14:paraId="13980983" w14:textId="77777777" w:rsidR="009913AD" w:rsidRDefault="009913AD" w:rsidP="009913AD">
      <w:pPr>
        <w:jc w:val="left"/>
        <w:rPr>
          <w:rFonts w:ascii="Arial" w:hAnsi="Arial" w:cs="Arial"/>
          <w:color w:val="222222"/>
          <w:szCs w:val="24"/>
        </w:rPr>
      </w:pPr>
    </w:p>
    <w:p w14:paraId="4AB19C63" w14:textId="77777777" w:rsidR="009913AD" w:rsidRDefault="009913AD" w:rsidP="009913AD">
      <w:pPr>
        <w:jc w:val="left"/>
        <w:rPr>
          <w:rFonts w:ascii="Arial" w:hAnsi="Arial" w:cs="Arial"/>
          <w:color w:val="222222"/>
          <w:szCs w:val="24"/>
        </w:rPr>
      </w:pPr>
    </w:p>
    <w:p w14:paraId="1AC96BD7" w14:textId="77777777" w:rsidR="009913AD" w:rsidRDefault="009913AD" w:rsidP="009913AD">
      <w:pPr>
        <w:jc w:val="left"/>
        <w:rPr>
          <w:rFonts w:ascii="Arial" w:hAnsi="Arial" w:cs="Arial"/>
          <w:color w:val="222222"/>
          <w:szCs w:val="24"/>
        </w:rPr>
      </w:pPr>
    </w:p>
    <w:p w14:paraId="3C3AE3D5" w14:textId="77777777" w:rsidR="009913AD" w:rsidRDefault="009913AD" w:rsidP="009913AD">
      <w:pPr>
        <w:jc w:val="left"/>
        <w:rPr>
          <w:rFonts w:ascii="Arial" w:hAnsi="Arial" w:cs="Arial"/>
          <w:color w:val="222222"/>
          <w:szCs w:val="24"/>
        </w:rPr>
      </w:pPr>
    </w:p>
    <w:p w14:paraId="3A433C38" w14:textId="77777777" w:rsidR="009913AD" w:rsidRDefault="009913AD" w:rsidP="009913AD">
      <w:pPr>
        <w:jc w:val="left"/>
        <w:rPr>
          <w:rFonts w:ascii="Arial" w:hAnsi="Arial" w:cs="Arial"/>
          <w:color w:val="222222"/>
          <w:szCs w:val="24"/>
        </w:rPr>
      </w:pPr>
    </w:p>
    <w:p w14:paraId="406A0204" w14:textId="77777777" w:rsidR="009913AD" w:rsidRPr="009913AD" w:rsidRDefault="009913AD" w:rsidP="009913AD">
      <w:pPr>
        <w:jc w:val="left"/>
        <w:rPr>
          <w:b/>
          <w:bCs/>
          <w:i/>
          <w:iCs/>
          <w:szCs w:val="24"/>
        </w:rPr>
      </w:pPr>
      <w:r>
        <w:rPr>
          <w:b/>
          <w:bCs/>
          <w:i/>
          <w:iCs/>
          <w:szCs w:val="24"/>
        </w:rPr>
        <w:t>I</w:t>
      </w:r>
      <w:r w:rsidRPr="009913AD">
        <w:rPr>
          <w:b/>
          <w:bCs/>
          <w:i/>
          <w:iCs/>
          <w:szCs w:val="24"/>
        </w:rPr>
        <w:t>mprese dell'economia del mare per settore (valori assoluti e composizione</w:t>
      </w:r>
      <w:r>
        <w:rPr>
          <w:rFonts w:ascii="Arial" w:hAnsi="Arial" w:cs="Arial"/>
          <w:color w:val="222222"/>
          <w:shd w:val="clear" w:color="auto" w:fill="FFFFFF"/>
        </w:rPr>
        <w:t xml:space="preserve"> </w:t>
      </w:r>
      <w:r w:rsidRPr="009913AD">
        <w:rPr>
          <w:b/>
          <w:bCs/>
          <w:i/>
          <w:iCs/>
          <w:szCs w:val="24"/>
        </w:rPr>
        <w:t>percentuale).</w:t>
      </w:r>
    </w:p>
    <w:p w14:paraId="3DDC2CD8" w14:textId="77777777" w:rsidR="009913AD" w:rsidRPr="009913AD" w:rsidRDefault="009913AD" w:rsidP="009913AD">
      <w:pPr>
        <w:jc w:val="left"/>
        <w:rPr>
          <w:szCs w:val="24"/>
        </w:rPr>
      </w:pPr>
    </w:p>
    <w:tbl>
      <w:tblPr>
        <w:tblW w:w="3671" w:type="pct"/>
        <w:jc w:val="center"/>
        <w:tblCellMar>
          <w:left w:w="0" w:type="dxa"/>
          <w:right w:w="0" w:type="dxa"/>
        </w:tblCellMar>
        <w:tblLook w:val="04A0" w:firstRow="1" w:lastRow="0" w:firstColumn="1" w:lastColumn="0" w:noHBand="0" w:noVBand="1"/>
      </w:tblPr>
      <w:tblGrid>
        <w:gridCol w:w="3049"/>
        <w:gridCol w:w="1650"/>
        <w:gridCol w:w="1738"/>
      </w:tblGrid>
      <w:tr w:rsidR="009913AD" w:rsidRPr="009913AD" w14:paraId="53E3D4D9" w14:textId="77777777" w:rsidTr="009913AD">
        <w:trPr>
          <w:trHeight w:val="209"/>
          <w:jc w:val="center"/>
        </w:trPr>
        <w:tc>
          <w:tcPr>
            <w:tcW w:w="2368" w:type="pct"/>
            <w:vMerge w:val="restart"/>
            <w:tcBorders>
              <w:top w:val="single" w:sz="8" w:space="0" w:color="auto"/>
              <w:left w:val="single" w:sz="8" w:space="0" w:color="auto"/>
              <w:bottom w:val="single" w:sz="8" w:space="0" w:color="auto"/>
              <w:right w:val="nil"/>
            </w:tcBorders>
            <w:shd w:val="clear" w:color="auto" w:fill="365F91"/>
            <w:noWrap/>
            <w:tcMar>
              <w:top w:w="0" w:type="dxa"/>
              <w:left w:w="70" w:type="dxa"/>
              <w:bottom w:w="0" w:type="dxa"/>
              <w:right w:w="70" w:type="dxa"/>
            </w:tcMar>
            <w:vAlign w:val="center"/>
            <w:hideMark/>
          </w:tcPr>
          <w:p w14:paraId="42B128B2" w14:textId="77777777" w:rsidR="009913AD" w:rsidRPr="009913AD" w:rsidRDefault="009913AD" w:rsidP="009913AD">
            <w:pPr>
              <w:jc w:val="left"/>
              <w:rPr>
                <w:rFonts w:ascii="Helvetica" w:hAnsi="Helvetica"/>
                <w:szCs w:val="24"/>
              </w:rPr>
            </w:pPr>
            <w:r w:rsidRPr="009913AD">
              <w:rPr>
                <w:rFonts w:ascii="Helvetica" w:hAnsi="Helvetica"/>
                <w:b/>
                <w:bCs/>
                <w:color w:val="FFFFFF"/>
                <w:sz w:val="16"/>
                <w:szCs w:val="16"/>
              </w:rPr>
              <w:t>Settori</w:t>
            </w:r>
          </w:p>
        </w:tc>
        <w:tc>
          <w:tcPr>
            <w:tcW w:w="2632" w:type="pct"/>
            <w:gridSpan w:val="2"/>
            <w:tcBorders>
              <w:top w:val="single" w:sz="8" w:space="0" w:color="auto"/>
              <w:left w:val="nil"/>
              <w:bottom w:val="nil"/>
              <w:right w:val="single" w:sz="8" w:space="0" w:color="auto"/>
            </w:tcBorders>
            <w:shd w:val="clear" w:color="auto" w:fill="365F91"/>
            <w:noWrap/>
            <w:tcMar>
              <w:top w:w="0" w:type="dxa"/>
              <w:left w:w="70" w:type="dxa"/>
              <w:bottom w:w="0" w:type="dxa"/>
              <w:right w:w="70" w:type="dxa"/>
            </w:tcMar>
            <w:vAlign w:val="center"/>
            <w:hideMark/>
          </w:tcPr>
          <w:p w14:paraId="2173006B" w14:textId="77777777" w:rsidR="009913AD" w:rsidRPr="009913AD" w:rsidRDefault="009913AD" w:rsidP="009913AD">
            <w:pPr>
              <w:jc w:val="center"/>
              <w:rPr>
                <w:rFonts w:ascii="Helvetica" w:hAnsi="Helvetica"/>
                <w:szCs w:val="24"/>
              </w:rPr>
            </w:pPr>
            <w:r w:rsidRPr="009913AD">
              <w:rPr>
                <w:rFonts w:ascii="Helvetica" w:hAnsi="Helvetica"/>
                <w:b/>
                <w:bCs/>
                <w:color w:val="FFFFFF"/>
                <w:sz w:val="16"/>
                <w:szCs w:val="16"/>
              </w:rPr>
              <w:t>Totale imprese economia del mare</w:t>
            </w:r>
          </w:p>
        </w:tc>
      </w:tr>
      <w:tr w:rsidR="009913AD" w:rsidRPr="009913AD" w14:paraId="451BFC18" w14:textId="77777777" w:rsidTr="009913AD">
        <w:trPr>
          <w:trHeight w:val="348"/>
          <w:jc w:val="center"/>
        </w:trPr>
        <w:tc>
          <w:tcPr>
            <w:tcW w:w="0" w:type="auto"/>
            <w:vMerge/>
            <w:tcBorders>
              <w:top w:val="single" w:sz="8" w:space="0" w:color="auto"/>
              <w:left w:val="single" w:sz="8" w:space="0" w:color="auto"/>
              <w:bottom w:val="single" w:sz="8" w:space="0" w:color="auto"/>
              <w:right w:val="nil"/>
            </w:tcBorders>
            <w:vAlign w:val="center"/>
            <w:hideMark/>
          </w:tcPr>
          <w:p w14:paraId="666969B6" w14:textId="77777777" w:rsidR="009913AD" w:rsidRPr="009913AD" w:rsidRDefault="009913AD" w:rsidP="009913AD">
            <w:pPr>
              <w:jc w:val="left"/>
              <w:rPr>
                <w:rFonts w:ascii="Helvetica" w:hAnsi="Helvetica"/>
                <w:szCs w:val="24"/>
              </w:rPr>
            </w:pPr>
          </w:p>
        </w:tc>
        <w:tc>
          <w:tcPr>
            <w:tcW w:w="1282" w:type="pct"/>
            <w:tcBorders>
              <w:top w:val="nil"/>
              <w:left w:val="nil"/>
              <w:bottom w:val="single" w:sz="8" w:space="0" w:color="auto"/>
              <w:right w:val="nil"/>
            </w:tcBorders>
            <w:shd w:val="clear" w:color="auto" w:fill="365F91"/>
            <w:noWrap/>
            <w:tcMar>
              <w:top w:w="0" w:type="dxa"/>
              <w:left w:w="70" w:type="dxa"/>
              <w:bottom w:w="0" w:type="dxa"/>
              <w:right w:w="70" w:type="dxa"/>
            </w:tcMar>
            <w:vAlign w:val="center"/>
            <w:hideMark/>
          </w:tcPr>
          <w:p w14:paraId="750965FF" w14:textId="77777777" w:rsidR="009913AD" w:rsidRPr="009913AD" w:rsidRDefault="009913AD" w:rsidP="009913AD">
            <w:pPr>
              <w:jc w:val="center"/>
              <w:rPr>
                <w:rFonts w:ascii="Helvetica" w:hAnsi="Helvetica"/>
                <w:szCs w:val="24"/>
              </w:rPr>
            </w:pPr>
            <w:r w:rsidRPr="009913AD">
              <w:rPr>
                <w:rFonts w:ascii="Helvetica" w:hAnsi="Helvetica"/>
                <w:b/>
                <w:bCs/>
                <w:color w:val="FFFFFF"/>
                <w:sz w:val="16"/>
                <w:szCs w:val="16"/>
              </w:rPr>
              <w:t>Valori assoluti</w:t>
            </w:r>
          </w:p>
        </w:tc>
        <w:tc>
          <w:tcPr>
            <w:tcW w:w="1351" w:type="pct"/>
            <w:tcBorders>
              <w:top w:val="nil"/>
              <w:left w:val="nil"/>
              <w:bottom w:val="single" w:sz="8" w:space="0" w:color="auto"/>
              <w:right w:val="single" w:sz="8" w:space="0" w:color="auto"/>
            </w:tcBorders>
            <w:shd w:val="clear" w:color="auto" w:fill="365F91"/>
            <w:noWrap/>
            <w:tcMar>
              <w:top w:w="0" w:type="dxa"/>
              <w:left w:w="70" w:type="dxa"/>
              <w:bottom w:w="0" w:type="dxa"/>
              <w:right w:w="70" w:type="dxa"/>
            </w:tcMar>
            <w:vAlign w:val="center"/>
            <w:hideMark/>
          </w:tcPr>
          <w:p w14:paraId="049AE3A6" w14:textId="77777777" w:rsidR="009913AD" w:rsidRPr="009913AD" w:rsidRDefault="009913AD" w:rsidP="009913AD">
            <w:pPr>
              <w:jc w:val="center"/>
              <w:rPr>
                <w:rFonts w:ascii="Helvetica" w:hAnsi="Helvetica"/>
                <w:szCs w:val="24"/>
              </w:rPr>
            </w:pPr>
            <w:r w:rsidRPr="009913AD">
              <w:rPr>
                <w:rFonts w:ascii="Helvetica" w:hAnsi="Helvetica"/>
                <w:b/>
                <w:bCs/>
                <w:color w:val="FFFFFF"/>
                <w:sz w:val="16"/>
                <w:szCs w:val="16"/>
              </w:rPr>
              <w:t>Composizione %</w:t>
            </w:r>
          </w:p>
        </w:tc>
      </w:tr>
      <w:tr w:rsidR="009913AD" w:rsidRPr="009913AD" w14:paraId="3E6AAFA8" w14:textId="77777777" w:rsidTr="009913AD">
        <w:trPr>
          <w:trHeight w:val="316"/>
          <w:jc w:val="center"/>
        </w:trPr>
        <w:tc>
          <w:tcPr>
            <w:tcW w:w="2368" w:type="pct"/>
            <w:tcBorders>
              <w:top w:val="nil"/>
              <w:left w:val="single" w:sz="8" w:space="0" w:color="auto"/>
              <w:bottom w:val="nil"/>
              <w:right w:val="nil"/>
            </w:tcBorders>
            <w:tcMar>
              <w:top w:w="0" w:type="dxa"/>
              <w:left w:w="70" w:type="dxa"/>
              <w:bottom w:w="0" w:type="dxa"/>
              <w:right w:w="70" w:type="dxa"/>
            </w:tcMar>
            <w:vAlign w:val="center"/>
            <w:hideMark/>
          </w:tcPr>
          <w:p w14:paraId="5DA305AD" w14:textId="77777777" w:rsidR="009913AD" w:rsidRPr="009913AD" w:rsidRDefault="009913AD" w:rsidP="009913AD">
            <w:pPr>
              <w:jc w:val="left"/>
              <w:rPr>
                <w:rFonts w:ascii="Helvetica" w:hAnsi="Helvetica"/>
                <w:szCs w:val="24"/>
              </w:rPr>
            </w:pPr>
            <w:r w:rsidRPr="009913AD">
              <w:rPr>
                <w:rFonts w:ascii="Helvetica" w:hAnsi="Helvetica"/>
                <w:color w:val="000000"/>
                <w:sz w:val="16"/>
                <w:szCs w:val="16"/>
              </w:rPr>
              <w:t>Filiera ittica</w:t>
            </w:r>
          </w:p>
        </w:tc>
        <w:tc>
          <w:tcPr>
            <w:tcW w:w="1282" w:type="pct"/>
            <w:tcBorders>
              <w:top w:val="nil"/>
              <w:left w:val="nil"/>
              <w:bottom w:val="nil"/>
              <w:right w:val="nil"/>
            </w:tcBorders>
            <w:noWrap/>
            <w:tcMar>
              <w:top w:w="0" w:type="dxa"/>
              <w:left w:w="70" w:type="dxa"/>
              <w:bottom w:w="0" w:type="dxa"/>
              <w:right w:w="70" w:type="dxa"/>
            </w:tcMar>
            <w:vAlign w:val="center"/>
            <w:hideMark/>
          </w:tcPr>
          <w:p w14:paraId="521D9956"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33.549</w:t>
            </w:r>
          </w:p>
        </w:tc>
        <w:tc>
          <w:tcPr>
            <w:tcW w:w="1351" w:type="pct"/>
            <w:tcBorders>
              <w:top w:val="nil"/>
              <w:left w:val="nil"/>
              <w:bottom w:val="nil"/>
              <w:right w:val="single" w:sz="8" w:space="0" w:color="auto"/>
            </w:tcBorders>
            <w:noWrap/>
            <w:tcMar>
              <w:top w:w="0" w:type="dxa"/>
              <w:left w:w="70" w:type="dxa"/>
              <w:bottom w:w="0" w:type="dxa"/>
              <w:right w:w="70" w:type="dxa"/>
            </w:tcMar>
            <w:vAlign w:val="center"/>
            <w:hideMark/>
          </w:tcPr>
          <w:p w14:paraId="549049C3"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16,8</w:t>
            </w:r>
          </w:p>
        </w:tc>
      </w:tr>
      <w:tr w:rsidR="009913AD" w:rsidRPr="009913AD" w14:paraId="5E2E5BD4" w14:textId="77777777" w:rsidTr="009913AD">
        <w:trPr>
          <w:trHeight w:val="316"/>
          <w:jc w:val="center"/>
        </w:trPr>
        <w:tc>
          <w:tcPr>
            <w:tcW w:w="2368" w:type="pct"/>
            <w:tcBorders>
              <w:top w:val="nil"/>
              <w:left w:val="single" w:sz="8" w:space="0" w:color="auto"/>
              <w:bottom w:val="nil"/>
              <w:right w:val="nil"/>
            </w:tcBorders>
            <w:tcMar>
              <w:top w:w="0" w:type="dxa"/>
              <w:left w:w="70" w:type="dxa"/>
              <w:bottom w:w="0" w:type="dxa"/>
              <w:right w:w="70" w:type="dxa"/>
            </w:tcMar>
            <w:vAlign w:val="center"/>
            <w:hideMark/>
          </w:tcPr>
          <w:p w14:paraId="1DE19680" w14:textId="77777777" w:rsidR="009913AD" w:rsidRPr="009913AD" w:rsidRDefault="009913AD" w:rsidP="009913AD">
            <w:pPr>
              <w:jc w:val="left"/>
              <w:rPr>
                <w:rFonts w:ascii="Helvetica" w:hAnsi="Helvetica"/>
                <w:szCs w:val="24"/>
              </w:rPr>
            </w:pPr>
            <w:r w:rsidRPr="009913AD">
              <w:rPr>
                <w:rFonts w:ascii="Helvetica" w:hAnsi="Helvetica"/>
                <w:color w:val="000000"/>
                <w:sz w:val="16"/>
                <w:szCs w:val="16"/>
              </w:rPr>
              <w:t>Industria delle estrazioni marine</w:t>
            </w:r>
          </w:p>
        </w:tc>
        <w:tc>
          <w:tcPr>
            <w:tcW w:w="1282" w:type="pct"/>
            <w:tcBorders>
              <w:top w:val="nil"/>
              <w:left w:val="nil"/>
              <w:bottom w:val="nil"/>
              <w:right w:val="nil"/>
            </w:tcBorders>
            <w:noWrap/>
            <w:tcMar>
              <w:top w:w="0" w:type="dxa"/>
              <w:left w:w="70" w:type="dxa"/>
              <w:bottom w:w="0" w:type="dxa"/>
              <w:right w:w="70" w:type="dxa"/>
            </w:tcMar>
            <w:vAlign w:val="center"/>
            <w:hideMark/>
          </w:tcPr>
          <w:p w14:paraId="72577780"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485</w:t>
            </w:r>
          </w:p>
        </w:tc>
        <w:tc>
          <w:tcPr>
            <w:tcW w:w="1351" w:type="pct"/>
            <w:tcBorders>
              <w:top w:val="nil"/>
              <w:left w:val="nil"/>
              <w:bottom w:val="nil"/>
              <w:right w:val="single" w:sz="8" w:space="0" w:color="auto"/>
            </w:tcBorders>
            <w:noWrap/>
            <w:tcMar>
              <w:top w:w="0" w:type="dxa"/>
              <w:left w:w="70" w:type="dxa"/>
              <w:bottom w:w="0" w:type="dxa"/>
              <w:right w:w="70" w:type="dxa"/>
            </w:tcMar>
            <w:vAlign w:val="center"/>
            <w:hideMark/>
          </w:tcPr>
          <w:p w14:paraId="209062E3"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0,2</w:t>
            </w:r>
          </w:p>
        </w:tc>
      </w:tr>
      <w:tr w:rsidR="009913AD" w:rsidRPr="009913AD" w14:paraId="60AC3828" w14:textId="77777777" w:rsidTr="009913AD">
        <w:trPr>
          <w:trHeight w:val="316"/>
          <w:jc w:val="center"/>
        </w:trPr>
        <w:tc>
          <w:tcPr>
            <w:tcW w:w="2368" w:type="pct"/>
            <w:tcBorders>
              <w:top w:val="nil"/>
              <w:left w:val="single" w:sz="8" w:space="0" w:color="auto"/>
              <w:bottom w:val="nil"/>
              <w:right w:val="nil"/>
            </w:tcBorders>
            <w:tcMar>
              <w:top w:w="0" w:type="dxa"/>
              <w:left w:w="70" w:type="dxa"/>
              <w:bottom w:w="0" w:type="dxa"/>
              <w:right w:w="70" w:type="dxa"/>
            </w:tcMar>
            <w:vAlign w:val="center"/>
            <w:hideMark/>
          </w:tcPr>
          <w:p w14:paraId="3385CB27" w14:textId="77777777" w:rsidR="009913AD" w:rsidRPr="009913AD" w:rsidRDefault="009913AD" w:rsidP="009913AD">
            <w:pPr>
              <w:jc w:val="left"/>
              <w:rPr>
                <w:rFonts w:ascii="Helvetica" w:hAnsi="Helvetica"/>
                <w:szCs w:val="24"/>
              </w:rPr>
            </w:pPr>
            <w:r w:rsidRPr="009913AD">
              <w:rPr>
                <w:rFonts w:ascii="Helvetica" w:hAnsi="Helvetica"/>
                <w:color w:val="000000"/>
                <w:sz w:val="16"/>
                <w:szCs w:val="16"/>
              </w:rPr>
              <w:t>Filiera della cantieristica</w:t>
            </w:r>
          </w:p>
        </w:tc>
        <w:tc>
          <w:tcPr>
            <w:tcW w:w="1282" w:type="pct"/>
            <w:tcBorders>
              <w:top w:val="nil"/>
              <w:left w:val="nil"/>
              <w:bottom w:val="nil"/>
              <w:right w:val="nil"/>
            </w:tcBorders>
            <w:noWrap/>
            <w:tcMar>
              <w:top w:w="0" w:type="dxa"/>
              <w:left w:w="70" w:type="dxa"/>
              <w:bottom w:w="0" w:type="dxa"/>
              <w:right w:w="70" w:type="dxa"/>
            </w:tcMar>
            <w:vAlign w:val="center"/>
            <w:hideMark/>
          </w:tcPr>
          <w:p w14:paraId="2ECF69AA"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27.106</w:t>
            </w:r>
          </w:p>
        </w:tc>
        <w:tc>
          <w:tcPr>
            <w:tcW w:w="1351" w:type="pct"/>
            <w:tcBorders>
              <w:top w:val="nil"/>
              <w:left w:val="nil"/>
              <w:bottom w:val="nil"/>
              <w:right w:val="single" w:sz="8" w:space="0" w:color="auto"/>
            </w:tcBorders>
            <w:noWrap/>
            <w:tcMar>
              <w:top w:w="0" w:type="dxa"/>
              <w:left w:w="70" w:type="dxa"/>
              <w:bottom w:w="0" w:type="dxa"/>
              <w:right w:w="70" w:type="dxa"/>
            </w:tcMar>
            <w:vAlign w:val="center"/>
            <w:hideMark/>
          </w:tcPr>
          <w:p w14:paraId="66157812"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13,6</w:t>
            </w:r>
          </w:p>
        </w:tc>
      </w:tr>
      <w:tr w:rsidR="009913AD" w:rsidRPr="009913AD" w14:paraId="79FF224D" w14:textId="77777777" w:rsidTr="009913AD">
        <w:trPr>
          <w:trHeight w:val="316"/>
          <w:jc w:val="center"/>
        </w:trPr>
        <w:tc>
          <w:tcPr>
            <w:tcW w:w="2368" w:type="pct"/>
            <w:tcBorders>
              <w:top w:val="nil"/>
              <w:left w:val="single" w:sz="8" w:space="0" w:color="auto"/>
              <w:bottom w:val="nil"/>
              <w:right w:val="nil"/>
            </w:tcBorders>
            <w:tcMar>
              <w:top w:w="0" w:type="dxa"/>
              <w:left w:w="70" w:type="dxa"/>
              <w:bottom w:w="0" w:type="dxa"/>
              <w:right w:w="70" w:type="dxa"/>
            </w:tcMar>
            <w:vAlign w:val="center"/>
            <w:hideMark/>
          </w:tcPr>
          <w:p w14:paraId="49F34CC5" w14:textId="77777777" w:rsidR="009913AD" w:rsidRPr="009913AD" w:rsidRDefault="009913AD" w:rsidP="009913AD">
            <w:pPr>
              <w:jc w:val="left"/>
              <w:rPr>
                <w:rFonts w:ascii="Helvetica" w:hAnsi="Helvetica"/>
                <w:szCs w:val="24"/>
              </w:rPr>
            </w:pPr>
            <w:r w:rsidRPr="009913AD">
              <w:rPr>
                <w:rFonts w:ascii="Helvetica" w:hAnsi="Helvetica"/>
                <w:color w:val="000000"/>
                <w:sz w:val="16"/>
                <w:szCs w:val="16"/>
              </w:rPr>
              <w:t>Movimentazione di merci e passeggeri via mare</w:t>
            </w:r>
          </w:p>
        </w:tc>
        <w:tc>
          <w:tcPr>
            <w:tcW w:w="1282" w:type="pct"/>
            <w:tcBorders>
              <w:top w:val="nil"/>
              <w:left w:val="nil"/>
              <w:bottom w:val="nil"/>
              <w:right w:val="nil"/>
            </w:tcBorders>
            <w:noWrap/>
            <w:tcMar>
              <w:top w:w="0" w:type="dxa"/>
              <w:left w:w="70" w:type="dxa"/>
              <w:bottom w:w="0" w:type="dxa"/>
              <w:right w:w="70" w:type="dxa"/>
            </w:tcMar>
            <w:vAlign w:val="center"/>
            <w:hideMark/>
          </w:tcPr>
          <w:p w14:paraId="15D4ED2C"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11.411</w:t>
            </w:r>
          </w:p>
        </w:tc>
        <w:tc>
          <w:tcPr>
            <w:tcW w:w="1351" w:type="pct"/>
            <w:tcBorders>
              <w:top w:val="nil"/>
              <w:left w:val="nil"/>
              <w:bottom w:val="nil"/>
              <w:right w:val="single" w:sz="8" w:space="0" w:color="auto"/>
            </w:tcBorders>
            <w:noWrap/>
            <w:tcMar>
              <w:top w:w="0" w:type="dxa"/>
              <w:left w:w="70" w:type="dxa"/>
              <w:bottom w:w="0" w:type="dxa"/>
              <w:right w:w="70" w:type="dxa"/>
            </w:tcMar>
            <w:vAlign w:val="center"/>
            <w:hideMark/>
          </w:tcPr>
          <w:p w14:paraId="249B6F07"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5,9</w:t>
            </w:r>
          </w:p>
        </w:tc>
      </w:tr>
      <w:tr w:rsidR="009913AD" w:rsidRPr="009913AD" w14:paraId="5A124BD6" w14:textId="77777777" w:rsidTr="009913AD">
        <w:trPr>
          <w:trHeight w:val="316"/>
          <w:jc w:val="center"/>
        </w:trPr>
        <w:tc>
          <w:tcPr>
            <w:tcW w:w="2368" w:type="pct"/>
            <w:tcBorders>
              <w:top w:val="nil"/>
              <w:left w:val="single" w:sz="8" w:space="0" w:color="auto"/>
              <w:bottom w:val="nil"/>
              <w:right w:val="nil"/>
            </w:tcBorders>
            <w:tcMar>
              <w:top w:w="0" w:type="dxa"/>
              <w:left w:w="70" w:type="dxa"/>
              <w:bottom w:w="0" w:type="dxa"/>
              <w:right w:w="70" w:type="dxa"/>
            </w:tcMar>
            <w:vAlign w:val="center"/>
            <w:hideMark/>
          </w:tcPr>
          <w:p w14:paraId="4BD3DE1B" w14:textId="77777777" w:rsidR="009913AD" w:rsidRPr="009913AD" w:rsidRDefault="009913AD" w:rsidP="009913AD">
            <w:pPr>
              <w:jc w:val="left"/>
              <w:rPr>
                <w:rFonts w:ascii="Helvetica" w:hAnsi="Helvetica"/>
                <w:szCs w:val="24"/>
              </w:rPr>
            </w:pPr>
            <w:r w:rsidRPr="009913AD">
              <w:rPr>
                <w:rFonts w:ascii="Helvetica" w:hAnsi="Helvetica"/>
                <w:color w:val="000000"/>
                <w:sz w:val="16"/>
                <w:szCs w:val="16"/>
              </w:rPr>
              <w:t>Servizi di alloggio e ristorazione</w:t>
            </w:r>
          </w:p>
        </w:tc>
        <w:tc>
          <w:tcPr>
            <w:tcW w:w="1282" w:type="pct"/>
            <w:tcBorders>
              <w:top w:val="nil"/>
              <w:left w:val="nil"/>
              <w:bottom w:val="nil"/>
              <w:right w:val="nil"/>
            </w:tcBorders>
            <w:noWrap/>
            <w:tcMar>
              <w:top w:w="0" w:type="dxa"/>
              <w:left w:w="70" w:type="dxa"/>
              <w:bottom w:w="0" w:type="dxa"/>
              <w:right w:w="70" w:type="dxa"/>
            </w:tcMar>
            <w:vAlign w:val="center"/>
            <w:hideMark/>
          </w:tcPr>
          <w:p w14:paraId="19FC8EA6"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88.636</w:t>
            </w:r>
          </w:p>
        </w:tc>
        <w:tc>
          <w:tcPr>
            <w:tcW w:w="1351" w:type="pct"/>
            <w:tcBorders>
              <w:top w:val="nil"/>
              <w:left w:val="nil"/>
              <w:bottom w:val="nil"/>
              <w:right w:val="single" w:sz="8" w:space="0" w:color="auto"/>
            </w:tcBorders>
            <w:noWrap/>
            <w:tcMar>
              <w:top w:w="0" w:type="dxa"/>
              <w:left w:w="70" w:type="dxa"/>
              <w:bottom w:w="0" w:type="dxa"/>
              <w:right w:w="70" w:type="dxa"/>
            </w:tcMar>
            <w:vAlign w:val="center"/>
            <w:hideMark/>
          </w:tcPr>
          <w:p w14:paraId="08F92BCF"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44,5</w:t>
            </w:r>
          </w:p>
        </w:tc>
      </w:tr>
      <w:tr w:rsidR="009913AD" w:rsidRPr="009913AD" w14:paraId="776F91A2" w14:textId="77777777" w:rsidTr="009913AD">
        <w:trPr>
          <w:trHeight w:val="316"/>
          <w:jc w:val="center"/>
        </w:trPr>
        <w:tc>
          <w:tcPr>
            <w:tcW w:w="2368" w:type="pct"/>
            <w:tcBorders>
              <w:top w:val="nil"/>
              <w:left w:val="single" w:sz="8" w:space="0" w:color="auto"/>
              <w:bottom w:val="nil"/>
              <w:right w:val="nil"/>
            </w:tcBorders>
            <w:tcMar>
              <w:top w:w="0" w:type="dxa"/>
              <w:left w:w="70" w:type="dxa"/>
              <w:bottom w:w="0" w:type="dxa"/>
              <w:right w:w="70" w:type="dxa"/>
            </w:tcMar>
            <w:vAlign w:val="center"/>
            <w:hideMark/>
          </w:tcPr>
          <w:p w14:paraId="0AF42DF5" w14:textId="77777777" w:rsidR="009913AD" w:rsidRPr="009913AD" w:rsidRDefault="009913AD" w:rsidP="009913AD">
            <w:pPr>
              <w:jc w:val="left"/>
              <w:rPr>
                <w:rFonts w:ascii="Helvetica" w:hAnsi="Helvetica"/>
                <w:szCs w:val="24"/>
              </w:rPr>
            </w:pPr>
            <w:r w:rsidRPr="009913AD">
              <w:rPr>
                <w:rFonts w:ascii="Helvetica" w:hAnsi="Helvetica"/>
                <w:color w:val="000000"/>
                <w:sz w:val="16"/>
                <w:szCs w:val="16"/>
              </w:rPr>
              <w:t>Attività di ricerca, regolamentazione e tutela ambientale</w:t>
            </w:r>
          </w:p>
        </w:tc>
        <w:tc>
          <w:tcPr>
            <w:tcW w:w="1282" w:type="pct"/>
            <w:tcBorders>
              <w:top w:val="nil"/>
              <w:left w:val="nil"/>
              <w:bottom w:val="nil"/>
              <w:right w:val="nil"/>
            </w:tcBorders>
            <w:noWrap/>
            <w:tcMar>
              <w:top w:w="0" w:type="dxa"/>
              <w:left w:w="70" w:type="dxa"/>
              <w:bottom w:w="0" w:type="dxa"/>
              <w:right w:w="70" w:type="dxa"/>
            </w:tcMar>
            <w:vAlign w:val="center"/>
            <w:hideMark/>
          </w:tcPr>
          <w:p w14:paraId="5493C1FB"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7.664</w:t>
            </w:r>
          </w:p>
        </w:tc>
        <w:tc>
          <w:tcPr>
            <w:tcW w:w="1351" w:type="pct"/>
            <w:tcBorders>
              <w:top w:val="nil"/>
              <w:left w:val="nil"/>
              <w:bottom w:val="nil"/>
              <w:right w:val="single" w:sz="8" w:space="0" w:color="auto"/>
            </w:tcBorders>
            <w:noWrap/>
            <w:tcMar>
              <w:top w:w="0" w:type="dxa"/>
              <w:left w:w="70" w:type="dxa"/>
              <w:bottom w:w="0" w:type="dxa"/>
              <w:right w:w="70" w:type="dxa"/>
            </w:tcMar>
            <w:vAlign w:val="center"/>
            <w:hideMark/>
          </w:tcPr>
          <w:p w14:paraId="438599F1"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3,8</w:t>
            </w:r>
          </w:p>
        </w:tc>
      </w:tr>
      <w:tr w:rsidR="009913AD" w:rsidRPr="009913AD" w14:paraId="725D0C2A" w14:textId="77777777" w:rsidTr="009913AD">
        <w:trPr>
          <w:trHeight w:val="316"/>
          <w:jc w:val="center"/>
        </w:trPr>
        <w:tc>
          <w:tcPr>
            <w:tcW w:w="2368" w:type="pct"/>
            <w:tcBorders>
              <w:top w:val="nil"/>
              <w:left w:val="single" w:sz="8" w:space="0" w:color="auto"/>
              <w:bottom w:val="single" w:sz="8" w:space="0" w:color="auto"/>
              <w:right w:val="nil"/>
            </w:tcBorders>
            <w:tcMar>
              <w:top w:w="0" w:type="dxa"/>
              <w:left w:w="70" w:type="dxa"/>
              <w:bottom w:w="0" w:type="dxa"/>
              <w:right w:w="70" w:type="dxa"/>
            </w:tcMar>
            <w:vAlign w:val="center"/>
            <w:hideMark/>
          </w:tcPr>
          <w:p w14:paraId="0E32E0F3" w14:textId="77777777" w:rsidR="009913AD" w:rsidRPr="009913AD" w:rsidRDefault="009913AD" w:rsidP="009913AD">
            <w:pPr>
              <w:jc w:val="left"/>
              <w:rPr>
                <w:rFonts w:ascii="Helvetica" w:hAnsi="Helvetica"/>
                <w:szCs w:val="24"/>
              </w:rPr>
            </w:pPr>
            <w:r w:rsidRPr="009913AD">
              <w:rPr>
                <w:rFonts w:ascii="Helvetica" w:hAnsi="Helvetica"/>
                <w:color w:val="000000"/>
                <w:sz w:val="16"/>
                <w:szCs w:val="16"/>
              </w:rPr>
              <w:t>Attività sportive e ricreative</w:t>
            </w:r>
          </w:p>
        </w:tc>
        <w:tc>
          <w:tcPr>
            <w:tcW w:w="1282" w:type="pct"/>
            <w:tcBorders>
              <w:top w:val="nil"/>
              <w:left w:val="nil"/>
              <w:bottom w:val="single" w:sz="8" w:space="0" w:color="auto"/>
              <w:right w:val="nil"/>
            </w:tcBorders>
            <w:noWrap/>
            <w:tcMar>
              <w:top w:w="0" w:type="dxa"/>
              <w:left w:w="70" w:type="dxa"/>
              <w:bottom w:w="0" w:type="dxa"/>
              <w:right w:w="70" w:type="dxa"/>
            </w:tcMar>
            <w:vAlign w:val="center"/>
            <w:hideMark/>
          </w:tcPr>
          <w:p w14:paraId="50EC8FBC"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30.326</w:t>
            </w:r>
          </w:p>
        </w:tc>
        <w:tc>
          <w:tcPr>
            <w:tcW w:w="135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5307C0" w14:textId="77777777" w:rsidR="009913AD" w:rsidRPr="009913AD" w:rsidRDefault="009913AD" w:rsidP="009913AD">
            <w:pPr>
              <w:jc w:val="center"/>
              <w:rPr>
                <w:rFonts w:ascii="Helvetica" w:hAnsi="Helvetica"/>
                <w:szCs w:val="24"/>
              </w:rPr>
            </w:pPr>
            <w:r w:rsidRPr="009913AD">
              <w:rPr>
                <w:rFonts w:ascii="Helvetica" w:hAnsi="Helvetica"/>
                <w:color w:val="000000"/>
                <w:sz w:val="16"/>
                <w:szCs w:val="16"/>
              </w:rPr>
              <w:t>15,2</w:t>
            </w:r>
          </w:p>
        </w:tc>
      </w:tr>
      <w:tr w:rsidR="009913AD" w:rsidRPr="009913AD" w14:paraId="3DD42509" w14:textId="77777777" w:rsidTr="009913AD">
        <w:trPr>
          <w:trHeight w:val="316"/>
          <w:jc w:val="center"/>
        </w:trPr>
        <w:tc>
          <w:tcPr>
            <w:tcW w:w="2368" w:type="pct"/>
            <w:tcBorders>
              <w:top w:val="nil"/>
              <w:left w:val="single" w:sz="8" w:space="0" w:color="auto"/>
              <w:bottom w:val="single" w:sz="8" w:space="0" w:color="auto"/>
              <w:right w:val="nil"/>
            </w:tcBorders>
            <w:tcMar>
              <w:top w:w="0" w:type="dxa"/>
              <w:left w:w="70" w:type="dxa"/>
              <w:bottom w:w="0" w:type="dxa"/>
              <w:right w:w="70" w:type="dxa"/>
            </w:tcMar>
            <w:vAlign w:val="center"/>
            <w:hideMark/>
          </w:tcPr>
          <w:p w14:paraId="76A8A908" w14:textId="77777777" w:rsidR="009913AD" w:rsidRPr="009913AD" w:rsidRDefault="009913AD" w:rsidP="009913AD">
            <w:pPr>
              <w:jc w:val="left"/>
              <w:rPr>
                <w:rFonts w:ascii="Helvetica" w:hAnsi="Helvetica"/>
                <w:szCs w:val="24"/>
              </w:rPr>
            </w:pPr>
            <w:r w:rsidRPr="009913AD">
              <w:rPr>
                <w:rFonts w:ascii="Helvetica" w:hAnsi="Helvetica"/>
                <w:b/>
                <w:bCs/>
                <w:color w:val="000000"/>
                <w:sz w:val="16"/>
                <w:szCs w:val="16"/>
              </w:rPr>
              <w:t>Totale economia del mare</w:t>
            </w:r>
          </w:p>
        </w:tc>
        <w:tc>
          <w:tcPr>
            <w:tcW w:w="1282" w:type="pct"/>
            <w:tcBorders>
              <w:top w:val="nil"/>
              <w:left w:val="nil"/>
              <w:bottom w:val="single" w:sz="8" w:space="0" w:color="auto"/>
              <w:right w:val="nil"/>
            </w:tcBorders>
            <w:noWrap/>
            <w:tcMar>
              <w:top w:w="0" w:type="dxa"/>
              <w:left w:w="70" w:type="dxa"/>
              <w:bottom w:w="0" w:type="dxa"/>
              <w:right w:w="70" w:type="dxa"/>
            </w:tcMar>
            <w:vAlign w:val="center"/>
            <w:hideMark/>
          </w:tcPr>
          <w:p w14:paraId="3F6988D3" w14:textId="77777777" w:rsidR="009913AD" w:rsidRPr="009913AD" w:rsidRDefault="009913AD" w:rsidP="009913AD">
            <w:pPr>
              <w:jc w:val="center"/>
              <w:rPr>
                <w:rFonts w:ascii="Helvetica" w:hAnsi="Helvetica"/>
                <w:szCs w:val="24"/>
              </w:rPr>
            </w:pPr>
            <w:r w:rsidRPr="009913AD">
              <w:rPr>
                <w:rFonts w:ascii="Helvetica" w:hAnsi="Helvetica"/>
                <w:b/>
                <w:bCs/>
                <w:color w:val="000000"/>
                <w:sz w:val="16"/>
                <w:szCs w:val="16"/>
              </w:rPr>
              <w:t>199.177</w:t>
            </w:r>
          </w:p>
        </w:tc>
        <w:tc>
          <w:tcPr>
            <w:tcW w:w="135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B2D64D" w14:textId="77777777" w:rsidR="009913AD" w:rsidRPr="009913AD" w:rsidRDefault="009913AD" w:rsidP="009913AD">
            <w:pPr>
              <w:jc w:val="center"/>
              <w:rPr>
                <w:rFonts w:ascii="Helvetica" w:hAnsi="Helvetica"/>
                <w:szCs w:val="24"/>
              </w:rPr>
            </w:pPr>
            <w:r w:rsidRPr="009913AD">
              <w:rPr>
                <w:rFonts w:ascii="Helvetica" w:hAnsi="Helvetica"/>
                <w:b/>
                <w:bCs/>
                <w:color w:val="000000"/>
                <w:sz w:val="16"/>
                <w:szCs w:val="16"/>
              </w:rPr>
              <w:t>100,0</w:t>
            </w:r>
          </w:p>
        </w:tc>
      </w:tr>
    </w:tbl>
    <w:p w14:paraId="0E9D94AD" w14:textId="0A0318E0" w:rsidR="009913AD" w:rsidRDefault="009913AD" w:rsidP="009913AD">
      <w:pPr>
        <w:rPr>
          <w:i/>
          <w:iCs/>
        </w:rPr>
      </w:pPr>
      <w:r w:rsidRPr="00B8343D">
        <w:rPr>
          <w:i/>
        </w:rPr>
        <w:t xml:space="preserve">Fonte: </w:t>
      </w:r>
      <w:r w:rsidRPr="00B8343D">
        <w:rPr>
          <w:i/>
          <w:iCs/>
        </w:rPr>
        <w:t>VIII Rapporto sull</w:t>
      </w:r>
      <w:r w:rsidR="00B27CD5">
        <w:rPr>
          <w:i/>
          <w:iCs/>
        </w:rPr>
        <w:t>’Economia del Mare</w:t>
      </w:r>
      <w:r w:rsidRPr="00B8343D">
        <w:rPr>
          <w:i/>
          <w:iCs/>
        </w:rPr>
        <w:t xml:space="preserve"> 2019</w:t>
      </w:r>
    </w:p>
    <w:p w14:paraId="4E5D727C" w14:textId="77777777" w:rsidR="009913AD" w:rsidRDefault="009913AD" w:rsidP="00AC08E2"/>
    <w:sectPr w:rsidR="009913AD" w:rsidSect="002539D1">
      <w:footerReference w:type="default" r:id="rId9"/>
      <w:headerReference w:type="first" r:id="rId10"/>
      <w:footerReference w:type="first" r:id="rId11"/>
      <w:pgSz w:w="11906" w:h="16838"/>
      <w:pgMar w:top="1702" w:right="1559" w:bottom="709" w:left="155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78C98" w14:textId="77777777" w:rsidR="00F679FD" w:rsidRDefault="00F679FD">
      <w:r>
        <w:separator/>
      </w:r>
    </w:p>
  </w:endnote>
  <w:endnote w:type="continuationSeparator" w:id="0">
    <w:p w14:paraId="4544FFB3" w14:textId="77777777" w:rsidR="00F679FD" w:rsidRDefault="00F6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edra Sans Std Demi">
    <w:altName w:val="Arial"/>
    <w:panose1 w:val="00000000000000000000"/>
    <w:charset w:val="00"/>
    <w:family w:val="swiss"/>
    <w:notTrueType/>
    <w:pitch w:val="variable"/>
    <w:sig w:usb0="20000007" w:usb1="00000003"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9" w:type="dxa"/>
      <w:tblInd w:w="-508" w:type="dxa"/>
      <w:tblLayout w:type="fixed"/>
      <w:tblCellMar>
        <w:left w:w="113" w:type="dxa"/>
        <w:right w:w="113" w:type="dxa"/>
      </w:tblCellMar>
      <w:tblLook w:val="0000" w:firstRow="0" w:lastRow="0" w:firstColumn="0" w:lastColumn="0" w:noHBand="0" w:noVBand="0"/>
    </w:tblPr>
    <w:tblGrid>
      <w:gridCol w:w="4619"/>
      <w:gridCol w:w="5670"/>
    </w:tblGrid>
    <w:tr w:rsidR="00513F62" w14:paraId="332B3E6D" w14:textId="77777777" w:rsidTr="0011671A">
      <w:trPr>
        <w:trHeight w:val="1134"/>
      </w:trPr>
      <w:tc>
        <w:tcPr>
          <w:tcW w:w="4619" w:type="dxa"/>
          <w:tcBorders>
            <w:right w:val="single" w:sz="4" w:space="0" w:color="808080"/>
          </w:tcBorders>
        </w:tcPr>
        <w:p w14:paraId="2B5F92D7" w14:textId="25402109" w:rsidR="00513F62" w:rsidRPr="00674134" w:rsidRDefault="008E09F6" w:rsidP="00513F62">
          <w:pPr>
            <w:pStyle w:val="Pidipagina"/>
            <w:jc w:val="center"/>
            <w:rPr>
              <w:rFonts w:ascii="Calibri" w:hAnsi="Calibri" w:cs="Calibri"/>
              <w:color w:val="808080"/>
              <w:sz w:val="18"/>
              <w:szCs w:val="18"/>
            </w:rPr>
          </w:pPr>
          <w:r>
            <w:rPr>
              <w:noProof/>
            </w:rPr>
            <mc:AlternateContent>
              <mc:Choice Requires="wpg">
                <w:drawing>
                  <wp:anchor distT="0" distB="0" distL="114300" distR="114300" simplePos="0" relativeHeight="251674624" behindDoc="0" locked="0" layoutInCell="0" allowOverlap="1" wp14:anchorId="22DDBDF7" wp14:editId="4C89205F">
                    <wp:simplePos x="0" y="0"/>
                    <wp:positionH relativeFrom="page">
                      <wp:posOffset>7070725</wp:posOffset>
                    </wp:positionH>
                    <wp:positionV relativeFrom="page">
                      <wp:posOffset>9815830</wp:posOffset>
                    </wp:positionV>
                    <wp:extent cx="488315" cy="237490"/>
                    <wp:effectExtent l="0" t="0" r="0" b="0"/>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EFA48" w14:textId="0847B838" w:rsidR="00513F62" w:rsidRDefault="000601CF" w:rsidP="00513F62">
                                  <w:pPr>
                                    <w:pStyle w:val="Intestazione"/>
                                    <w:jc w:val="center"/>
                                  </w:pPr>
                                  <w:r w:rsidRPr="00674134">
                                    <w:rPr>
                                      <w:sz w:val="22"/>
                                      <w:szCs w:val="22"/>
                                    </w:rPr>
                                    <w:fldChar w:fldCharType="begin"/>
                                  </w:r>
                                  <w:r w:rsidR="00513F62">
                                    <w:instrText>PAGE    \* MERGEFORMAT</w:instrText>
                                  </w:r>
                                  <w:r w:rsidRPr="00674134">
                                    <w:rPr>
                                      <w:sz w:val="22"/>
                                      <w:szCs w:val="22"/>
                                    </w:rPr>
                                    <w:fldChar w:fldCharType="separate"/>
                                  </w:r>
                                  <w:r w:rsidR="00BF11CD" w:rsidRPr="00BF11CD">
                                    <w:rPr>
                                      <w:rStyle w:val="Numeropagina"/>
                                      <w:b/>
                                      <w:bCs/>
                                      <w:noProof/>
                                      <w:color w:val="403152"/>
                                      <w:sz w:val="16"/>
                                      <w:szCs w:val="16"/>
                                    </w:rPr>
                                    <w:t>3</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DDBDF7" id="Gruppo 5" o:spid="_x0000_s1026" style="position:absolute;left:0;text-align:left;margin-left:556.75pt;margin-top:772.9pt;width:38.45pt;height:18.7pt;z-index:251674624;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4ACEFA48" w14:textId="0847B838" w:rsidR="00513F62" w:rsidRDefault="000601CF" w:rsidP="00513F62">
                            <w:pPr>
                              <w:pStyle w:val="Intestazione"/>
                              <w:jc w:val="center"/>
                            </w:pPr>
                            <w:r w:rsidRPr="00674134">
                              <w:rPr>
                                <w:sz w:val="22"/>
                                <w:szCs w:val="22"/>
                              </w:rPr>
                              <w:fldChar w:fldCharType="begin"/>
                            </w:r>
                            <w:r w:rsidR="00513F62">
                              <w:instrText>PAGE    \* MERGEFORMAT</w:instrText>
                            </w:r>
                            <w:r w:rsidRPr="00674134">
                              <w:rPr>
                                <w:sz w:val="22"/>
                                <w:szCs w:val="22"/>
                              </w:rPr>
                              <w:fldChar w:fldCharType="separate"/>
                            </w:r>
                            <w:r w:rsidR="00BF11CD" w:rsidRPr="00BF11CD">
                              <w:rPr>
                                <w:rStyle w:val="Numeropagina"/>
                                <w:b/>
                                <w:bCs/>
                                <w:noProof/>
                                <w:color w:val="403152"/>
                                <w:sz w:val="16"/>
                                <w:szCs w:val="16"/>
                              </w:rPr>
                              <w:t>3</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page" anchory="page"/>
                  </v:group>
                </w:pict>
              </mc:Fallback>
            </mc:AlternateContent>
          </w:r>
          <w:r w:rsidR="00513F62" w:rsidRPr="00674134">
            <w:rPr>
              <w:rFonts w:ascii="Calibri" w:hAnsi="Calibri" w:cs="Calibri"/>
              <w:b/>
              <w:color w:val="808080"/>
              <w:sz w:val="18"/>
              <w:szCs w:val="18"/>
            </w:rPr>
            <w:t xml:space="preserve">Ufficio stampa </w:t>
          </w:r>
          <w:proofErr w:type="spellStart"/>
          <w:r w:rsidR="00513F62" w:rsidRPr="00674134">
            <w:rPr>
              <w:rFonts w:ascii="Calibri" w:hAnsi="Calibri" w:cs="Calibri"/>
              <w:b/>
              <w:color w:val="808080"/>
              <w:sz w:val="18"/>
              <w:szCs w:val="18"/>
            </w:rPr>
            <w:t>Unioncamere</w:t>
          </w:r>
          <w:proofErr w:type="spellEnd"/>
          <w:r w:rsidR="00513F62" w:rsidRPr="00674134">
            <w:rPr>
              <w:rFonts w:ascii="Calibri" w:hAnsi="Calibri" w:cs="Calibri"/>
              <w:b/>
              <w:color w:val="808080"/>
              <w:sz w:val="18"/>
              <w:szCs w:val="18"/>
            </w:rPr>
            <w:t xml:space="preserve"> - </w:t>
          </w:r>
          <w:r w:rsidR="009C72BC">
            <w:rPr>
              <w:rFonts w:ascii="Calibri" w:hAnsi="Calibri" w:cs="Calibri"/>
              <w:color w:val="808080"/>
              <w:sz w:val="18"/>
              <w:szCs w:val="18"/>
            </w:rPr>
            <w:t xml:space="preserve">06.4704 </w:t>
          </w:r>
          <w:r w:rsidR="00513F62" w:rsidRPr="00674134">
            <w:rPr>
              <w:rFonts w:ascii="Calibri" w:hAnsi="Calibri" w:cs="Calibri"/>
              <w:color w:val="808080"/>
              <w:sz w:val="18"/>
              <w:szCs w:val="18"/>
            </w:rPr>
            <w:t>350</w:t>
          </w:r>
          <w:r w:rsidR="00A81424">
            <w:rPr>
              <w:rFonts w:ascii="Calibri" w:hAnsi="Calibri" w:cs="Calibri"/>
              <w:color w:val="808080"/>
              <w:sz w:val="18"/>
              <w:szCs w:val="18"/>
            </w:rPr>
            <w:t xml:space="preserve"> - 264</w:t>
          </w:r>
        </w:p>
        <w:p w14:paraId="0C9119DA" w14:textId="77777777" w:rsidR="00513F62" w:rsidRPr="00674134" w:rsidRDefault="00F679FD" w:rsidP="00513F62">
          <w:pPr>
            <w:pStyle w:val="Didascalia"/>
            <w:jc w:val="center"/>
            <w:rPr>
              <w:rFonts w:ascii="Calibri" w:hAnsi="Calibri" w:cs="Calibri"/>
              <w:i w:val="0"/>
              <w:color w:val="808080"/>
              <w:sz w:val="18"/>
              <w:szCs w:val="18"/>
            </w:rPr>
          </w:pPr>
          <w:hyperlink r:id="rId1" w:history="1">
            <w:r w:rsidR="00513F62" w:rsidRPr="00674134">
              <w:rPr>
                <w:rStyle w:val="Collegamentoipertestuale"/>
                <w:rFonts w:ascii="Calibri" w:hAnsi="Calibri" w:cs="Calibri"/>
                <w:i w:val="0"/>
                <w:sz w:val="18"/>
                <w:szCs w:val="18"/>
              </w:rPr>
              <w:t>ufficio.stampa@unioncamere.it</w:t>
            </w:r>
          </w:hyperlink>
          <w:r w:rsidR="00513F62" w:rsidRPr="00674134">
            <w:rPr>
              <w:rFonts w:ascii="Calibri" w:hAnsi="Calibri" w:cs="Calibri"/>
              <w:i w:val="0"/>
              <w:color w:val="808080"/>
              <w:sz w:val="18"/>
              <w:szCs w:val="18"/>
            </w:rPr>
            <w:t xml:space="preserve"> - </w:t>
          </w:r>
          <w:hyperlink r:id="rId2" w:history="1">
            <w:r w:rsidR="00513F62" w:rsidRPr="00674134">
              <w:rPr>
                <w:rStyle w:val="Collegamentoipertestuale"/>
                <w:rFonts w:ascii="Calibri" w:hAnsi="Calibri" w:cs="Calibri"/>
                <w:i w:val="0"/>
                <w:sz w:val="18"/>
                <w:szCs w:val="18"/>
              </w:rPr>
              <w:t>www.unioncamere.gov.it</w:t>
            </w:r>
          </w:hyperlink>
        </w:p>
        <w:p w14:paraId="35996835" w14:textId="77777777" w:rsidR="00513F62" w:rsidRPr="00674134" w:rsidRDefault="00513F62" w:rsidP="00513F62">
          <w:pPr>
            <w:pStyle w:val="Didascalia"/>
            <w:jc w:val="center"/>
            <w:rPr>
              <w:rFonts w:ascii="Calibri" w:hAnsi="Calibri" w:cs="Calibri"/>
              <w:i w:val="0"/>
              <w:color w:val="808080"/>
              <w:sz w:val="18"/>
              <w:szCs w:val="18"/>
            </w:rPr>
          </w:pPr>
          <w:r w:rsidRPr="00674134">
            <w:rPr>
              <w:rFonts w:ascii="Calibri" w:hAnsi="Calibri" w:cs="Calibri"/>
              <w:i w:val="0"/>
              <w:color w:val="808080"/>
              <w:sz w:val="18"/>
              <w:szCs w:val="18"/>
            </w:rPr>
            <w:t>twitter.com/</w:t>
          </w:r>
          <w:proofErr w:type="spellStart"/>
          <w:r w:rsidRPr="00674134">
            <w:rPr>
              <w:rFonts w:ascii="Calibri" w:hAnsi="Calibri" w:cs="Calibri"/>
              <w:i w:val="0"/>
              <w:color w:val="808080"/>
              <w:sz w:val="18"/>
              <w:szCs w:val="18"/>
            </w:rPr>
            <w:t>unioncamere</w:t>
          </w:r>
          <w:proofErr w:type="spellEnd"/>
        </w:p>
      </w:tc>
      <w:tc>
        <w:tcPr>
          <w:tcW w:w="5670" w:type="dxa"/>
          <w:tcBorders>
            <w:left w:val="single" w:sz="4" w:space="0" w:color="808080"/>
          </w:tcBorders>
        </w:tcPr>
        <w:p w14:paraId="593F92F1" w14:textId="77777777" w:rsidR="00513F62" w:rsidRDefault="00513F62" w:rsidP="00513F62">
          <w:pPr>
            <w:pStyle w:val="Pidipagina"/>
            <w:jc w:val="center"/>
            <w:rPr>
              <w:rFonts w:ascii="Calibri" w:hAnsi="Calibri" w:cs="Calibri"/>
              <w:b/>
              <w:color w:val="808080"/>
              <w:sz w:val="18"/>
              <w:szCs w:val="18"/>
            </w:rPr>
          </w:pPr>
          <w:r>
            <w:rPr>
              <w:rFonts w:ascii="Calibri" w:hAnsi="Calibri" w:cs="Calibri"/>
              <w:b/>
              <w:color w:val="808080"/>
              <w:sz w:val="18"/>
              <w:szCs w:val="18"/>
            </w:rPr>
            <w:t xml:space="preserve">Responsabile ufficio stampa e comunicazione </w:t>
          </w:r>
        </w:p>
        <w:p w14:paraId="76F511A5" w14:textId="77777777" w:rsidR="00513F62" w:rsidRDefault="005F5F7E" w:rsidP="00513F62">
          <w:pPr>
            <w:pStyle w:val="Pidipagina"/>
            <w:jc w:val="center"/>
            <w:rPr>
              <w:rFonts w:ascii="Calibri" w:hAnsi="Calibri" w:cs="Calibri"/>
              <w:b/>
              <w:color w:val="808080"/>
              <w:sz w:val="18"/>
              <w:szCs w:val="18"/>
            </w:rPr>
          </w:pPr>
          <w:r>
            <w:rPr>
              <w:rFonts w:ascii="Calibri" w:hAnsi="Calibri" w:cs="Calibri"/>
              <w:b/>
              <w:color w:val="808080"/>
              <w:sz w:val="18"/>
              <w:szCs w:val="18"/>
            </w:rPr>
            <w:t xml:space="preserve">Centro Studi delle Camere di commercio G. </w:t>
          </w:r>
          <w:proofErr w:type="spellStart"/>
          <w:r w:rsidR="00513F62">
            <w:rPr>
              <w:rFonts w:ascii="Calibri" w:hAnsi="Calibri" w:cs="Calibri"/>
              <w:b/>
              <w:color w:val="808080"/>
              <w:sz w:val="18"/>
              <w:szCs w:val="18"/>
            </w:rPr>
            <w:t>Tagliacarne</w:t>
          </w:r>
          <w:proofErr w:type="spellEnd"/>
          <w:r w:rsidR="00513F62">
            <w:rPr>
              <w:rFonts w:ascii="Calibri" w:hAnsi="Calibri" w:cs="Calibri"/>
              <w:b/>
              <w:color w:val="808080"/>
              <w:sz w:val="18"/>
              <w:szCs w:val="18"/>
            </w:rPr>
            <w:t xml:space="preserve">  </w:t>
          </w:r>
        </w:p>
        <w:p w14:paraId="32B2EEF0" w14:textId="77777777" w:rsidR="00513F62" w:rsidRDefault="00513F62" w:rsidP="00513F62">
          <w:pPr>
            <w:pStyle w:val="Pidipagina"/>
            <w:jc w:val="center"/>
            <w:rPr>
              <w:rFonts w:ascii="Calibri" w:hAnsi="Calibri" w:cs="Calibri"/>
              <w:b/>
              <w:color w:val="808080"/>
              <w:sz w:val="18"/>
              <w:szCs w:val="18"/>
            </w:rPr>
          </w:pPr>
          <w:r w:rsidRPr="00A77D0C">
            <w:rPr>
              <w:rFonts w:ascii="Calibri" w:hAnsi="Calibri" w:cs="Calibri"/>
              <w:b/>
              <w:color w:val="808080"/>
              <w:sz w:val="18"/>
              <w:szCs w:val="18"/>
            </w:rPr>
            <w:t xml:space="preserve">Loredana </w:t>
          </w:r>
          <w:proofErr w:type="spellStart"/>
          <w:proofErr w:type="gramStart"/>
          <w:r w:rsidRPr="00A77D0C">
            <w:rPr>
              <w:rFonts w:ascii="Calibri" w:hAnsi="Calibri" w:cs="Calibri"/>
              <w:b/>
              <w:color w:val="808080"/>
              <w:sz w:val="18"/>
              <w:szCs w:val="18"/>
            </w:rPr>
            <w:t>Capuozzo</w:t>
          </w:r>
          <w:proofErr w:type="spellEnd"/>
          <w:r w:rsidRPr="00A77D0C">
            <w:rPr>
              <w:rFonts w:ascii="Calibri" w:hAnsi="Calibri" w:cs="Calibri"/>
              <w:b/>
              <w:color w:val="808080"/>
              <w:sz w:val="18"/>
              <w:szCs w:val="18"/>
            </w:rPr>
            <w:t xml:space="preserve">  </w:t>
          </w:r>
          <w:proofErr w:type="spellStart"/>
          <w:r w:rsidRPr="00A77D0C">
            <w:rPr>
              <w:rFonts w:ascii="Calibri" w:hAnsi="Calibri" w:cs="Calibri"/>
              <w:b/>
              <w:color w:val="808080"/>
              <w:sz w:val="18"/>
              <w:szCs w:val="18"/>
            </w:rPr>
            <w:t>cell</w:t>
          </w:r>
          <w:proofErr w:type="spellEnd"/>
          <w:proofErr w:type="gramEnd"/>
          <w:r w:rsidRPr="00A77D0C">
            <w:rPr>
              <w:rFonts w:ascii="Calibri" w:hAnsi="Calibri" w:cs="Calibri"/>
              <w:b/>
              <w:color w:val="808080"/>
              <w:sz w:val="18"/>
              <w:szCs w:val="18"/>
            </w:rPr>
            <w:t xml:space="preserve">. 331.6098963   </w:t>
          </w:r>
          <w:r>
            <w:rPr>
              <w:rFonts w:ascii="Calibri" w:hAnsi="Calibri" w:cs="Calibri"/>
              <w:b/>
              <w:color w:val="808080"/>
              <w:sz w:val="18"/>
              <w:szCs w:val="18"/>
            </w:rPr>
            <w:t xml:space="preserve">email: </w:t>
          </w:r>
          <w:r w:rsidR="00F15BA1">
            <w:rPr>
              <w:rFonts w:ascii="Calibri" w:hAnsi="Calibri" w:cs="Calibri"/>
              <w:b/>
              <w:color w:val="808080"/>
              <w:sz w:val="18"/>
              <w:szCs w:val="18"/>
            </w:rPr>
            <w:t>l</w:t>
          </w:r>
          <w:r w:rsidRPr="00A77D0C">
            <w:rPr>
              <w:rFonts w:ascii="Calibri" w:hAnsi="Calibri" w:cs="Calibri"/>
              <w:b/>
              <w:color w:val="808080"/>
              <w:sz w:val="18"/>
              <w:szCs w:val="18"/>
            </w:rPr>
            <w:t xml:space="preserve">.capuozzo@tagliacarne.it </w:t>
          </w:r>
        </w:p>
        <w:p w14:paraId="15853ABE" w14:textId="77777777" w:rsidR="00513F62" w:rsidRPr="00674134" w:rsidRDefault="00F679FD" w:rsidP="0011671A">
          <w:pPr>
            <w:pStyle w:val="Pidipagina"/>
            <w:jc w:val="center"/>
            <w:rPr>
              <w:rFonts w:ascii="Calibri" w:hAnsi="Calibri" w:cs="Calibri"/>
              <w:color w:val="808080"/>
              <w:sz w:val="18"/>
              <w:szCs w:val="18"/>
            </w:rPr>
          </w:pPr>
          <w:hyperlink r:id="rId3" w:history="1">
            <w:r w:rsidR="00513F62" w:rsidRPr="00471E9E">
              <w:rPr>
                <w:rStyle w:val="Collegamentoipertestuale"/>
                <w:rFonts w:ascii="Calibri" w:hAnsi="Calibri" w:cs="Calibri"/>
                <w:sz w:val="18"/>
                <w:szCs w:val="18"/>
              </w:rPr>
              <w:t>www.tagliacarne.it</w:t>
            </w:r>
          </w:hyperlink>
          <w:r w:rsidR="0011671A">
            <w:rPr>
              <w:rStyle w:val="Collegamentoipertestuale"/>
              <w:rFonts w:ascii="Calibri" w:hAnsi="Calibri" w:cs="Calibri"/>
              <w:sz w:val="18"/>
              <w:szCs w:val="18"/>
            </w:rPr>
            <w:t xml:space="preserve"> </w:t>
          </w:r>
          <w:r w:rsidR="00513F62" w:rsidRPr="00674134">
            <w:rPr>
              <w:rFonts w:ascii="Calibri" w:hAnsi="Calibri" w:cs="Calibri"/>
              <w:color w:val="808080"/>
              <w:sz w:val="18"/>
              <w:szCs w:val="18"/>
            </w:rPr>
            <w:t>twitter.com/</w:t>
          </w:r>
          <w:r w:rsidR="00513F62" w:rsidRPr="00483A9A">
            <w:rPr>
              <w:rFonts w:ascii="Calibri" w:hAnsi="Calibri" w:cs="Calibri"/>
              <w:color w:val="808080"/>
              <w:sz w:val="18"/>
              <w:szCs w:val="18"/>
            </w:rPr>
            <w:t xml:space="preserve"> </w:t>
          </w:r>
          <w:proofErr w:type="spellStart"/>
          <w:r w:rsidR="00513F62" w:rsidRPr="00483A9A">
            <w:rPr>
              <w:rFonts w:ascii="Calibri" w:hAnsi="Calibri" w:cs="Calibri"/>
              <w:color w:val="808080"/>
              <w:sz w:val="18"/>
              <w:szCs w:val="18"/>
            </w:rPr>
            <w:t>IstTagliacarne</w:t>
          </w:r>
          <w:proofErr w:type="spellEnd"/>
        </w:p>
      </w:tc>
    </w:tr>
  </w:tbl>
  <w:p w14:paraId="1D06A64E" w14:textId="24693AB9" w:rsidR="00395DC2" w:rsidRPr="00513F62" w:rsidRDefault="008E09F6" w:rsidP="00513F62">
    <w:pPr>
      <w:pStyle w:val="Pidipagina"/>
    </w:pPr>
    <w:r>
      <w:rPr>
        <w:rFonts w:asciiTheme="majorHAnsi" w:eastAsiaTheme="majorEastAsia" w:hAnsiTheme="majorHAnsi" w:cstheme="majorBidi"/>
        <w:noProof/>
        <w:sz w:val="28"/>
        <w:szCs w:val="28"/>
      </w:rPr>
      <mc:AlternateContent>
        <mc:Choice Requires="wps">
          <w:drawing>
            <wp:anchor distT="0" distB="0" distL="114300" distR="114300" simplePos="0" relativeHeight="251678720" behindDoc="0" locked="0" layoutInCell="0" allowOverlap="1" wp14:anchorId="2FCD7197" wp14:editId="50533D73">
              <wp:simplePos x="0" y="0"/>
              <wp:positionH relativeFrom="rightMargin">
                <wp:posOffset>409575</wp:posOffset>
              </wp:positionH>
              <wp:positionV relativeFrom="page">
                <wp:posOffset>9364980</wp:posOffset>
              </wp:positionV>
              <wp:extent cx="335280" cy="363220"/>
              <wp:effectExtent l="0" t="0" r="0" b="0"/>
              <wp:wrapNone/>
              <wp:docPr id="17" name="Ova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63220"/>
                      </a:xfrm>
                      <a:prstGeom prst="ellipse">
                        <a:avLst/>
                      </a:prstGeom>
                      <a:solidFill>
                        <a:schemeClr val="accent1"/>
                      </a:solidFill>
                      <a:ln>
                        <a:noFill/>
                      </a:ln>
                    </wps:spPr>
                    <wps:txbx>
                      <w:txbxContent>
                        <w:p w14:paraId="07D5B4E1" w14:textId="4E41BEA4" w:rsidR="00B565A4" w:rsidRDefault="000601CF">
                          <w:pPr>
                            <w:rPr>
                              <w:rStyle w:val="Numeropagina"/>
                              <w:color w:val="FFFFFF" w:themeColor="background1"/>
                              <w:szCs w:val="24"/>
                            </w:rPr>
                          </w:pPr>
                          <w:r>
                            <w:rPr>
                              <w:sz w:val="22"/>
                              <w:szCs w:val="22"/>
                            </w:rPr>
                            <w:fldChar w:fldCharType="begin"/>
                          </w:r>
                          <w:r w:rsidR="00B565A4">
                            <w:instrText>PAGE    \* MERGEFORMAT</w:instrText>
                          </w:r>
                          <w:r>
                            <w:rPr>
                              <w:sz w:val="22"/>
                              <w:szCs w:val="22"/>
                            </w:rPr>
                            <w:fldChar w:fldCharType="separate"/>
                          </w:r>
                          <w:r w:rsidR="00BF11CD" w:rsidRPr="00BF11CD">
                            <w:rPr>
                              <w:rStyle w:val="Numeropagina"/>
                              <w:b/>
                              <w:bCs/>
                              <w:noProof/>
                              <w:color w:val="FFFFFF" w:themeColor="background1"/>
                              <w:szCs w:val="24"/>
                            </w:rPr>
                            <w:t>3</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D7197" id="Ovale 17" o:spid="_x0000_s1031" style="position:absolute;left:0;text-align:left;margin-left:32.25pt;margin-top:737.4pt;width:26.4pt;height:28.6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" o:allowincell="f" fillcolor="#5b9bd5 [3204]" stroked="f">
              <v:textbox inset="0,,0">
                <w:txbxContent>
                  <w:p w14:paraId="07D5B4E1" w14:textId="4E41BEA4" w:rsidR="00B565A4" w:rsidRDefault="000601CF">
                    <w:pPr>
                      <w:rPr>
                        <w:rStyle w:val="Numeropagina"/>
                        <w:color w:val="FFFFFF" w:themeColor="background1"/>
                        <w:szCs w:val="24"/>
                      </w:rPr>
                    </w:pPr>
                    <w:r>
                      <w:rPr>
                        <w:sz w:val="22"/>
                        <w:szCs w:val="22"/>
                      </w:rPr>
                      <w:fldChar w:fldCharType="begin"/>
                    </w:r>
                    <w:r w:rsidR="00B565A4">
                      <w:instrText>PAGE    \* MERGEFORMAT</w:instrText>
                    </w:r>
                    <w:r>
                      <w:rPr>
                        <w:sz w:val="22"/>
                        <w:szCs w:val="22"/>
                      </w:rPr>
                      <w:fldChar w:fldCharType="separate"/>
                    </w:r>
                    <w:r w:rsidR="00BF11CD" w:rsidRPr="00BF11CD">
                      <w:rPr>
                        <w:rStyle w:val="Numeropagina"/>
                        <w:b/>
                        <w:bCs/>
                        <w:noProof/>
                        <w:color w:val="FFFFFF" w:themeColor="background1"/>
                        <w:szCs w:val="24"/>
                      </w:rPr>
                      <w:t>3</w:t>
                    </w:r>
                    <w:r>
                      <w:rPr>
                        <w:rStyle w:val="Numeropagina"/>
                        <w:b/>
                        <w:bCs/>
                        <w:color w:val="FFFFFF" w:themeColor="background1"/>
                        <w:szCs w:val="24"/>
                      </w:rPr>
                      <w:fldChar w:fldCharType="end"/>
                    </w:r>
                  </w:p>
                </w:txbxContent>
              </v:textbox>
              <w10:wrap anchorx="margin"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1276" w:type="dxa"/>
      <w:tblLayout w:type="fixed"/>
      <w:tblCellMar>
        <w:left w:w="113" w:type="dxa"/>
        <w:right w:w="113" w:type="dxa"/>
      </w:tblCellMar>
      <w:tblLook w:val="0000" w:firstRow="0" w:lastRow="0" w:firstColumn="0" w:lastColumn="0" w:noHBand="0" w:noVBand="0"/>
    </w:tblPr>
    <w:tblGrid>
      <w:gridCol w:w="5387"/>
      <w:gridCol w:w="5670"/>
    </w:tblGrid>
    <w:tr w:rsidR="008E0687" w14:paraId="469EB273" w14:textId="77777777" w:rsidTr="002A48E2">
      <w:trPr>
        <w:trHeight w:val="1227"/>
      </w:trPr>
      <w:tc>
        <w:tcPr>
          <w:tcW w:w="5387" w:type="dxa"/>
          <w:tcBorders>
            <w:right w:val="single" w:sz="4" w:space="0" w:color="808080"/>
          </w:tcBorders>
        </w:tcPr>
        <w:p w14:paraId="30E48E99" w14:textId="7688AC69" w:rsidR="008E0687" w:rsidRPr="00674134" w:rsidRDefault="008E09F6" w:rsidP="008E0687">
          <w:pPr>
            <w:pStyle w:val="Pidipagina"/>
            <w:jc w:val="center"/>
            <w:rPr>
              <w:rFonts w:ascii="Calibri" w:hAnsi="Calibri" w:cs="Calibri"/>
              <w:color w:val="808080"/>
              <w:sz w:val="18"/>
              <w:szCs w:val="18"/>
            </w:rPr>
          </w:pPr>
          <w:r>
            <w:rPr>
              <w:noProof/>
            </w:rPr>
            <mc:AlternateContent>
              <mc:Choice Requires="wpg">
                <w:drawing>
                  <wp:anchor distT="0" distB="0" distL="114300" distR="114300" simplePos="0" relativeHeight="251672576" behindDoc="0" locked="0" layoutInCell="0" allowOverlap="1" wp14:anchorId="551DFE41" wp14:editId="4E4190B8">
                    <wp:simplePos x="0" y="0"/>
                    <wp:positionH relativeFrom="page">
                      <wp:posOffset>7070725</wp:posOffset>
                    </wp:positionH>
                    <wp:positionV relativeFrom="page">
                      <wp:posOffset>9815830</wp:posOffset>
                    </wp:positionV>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4D1F" w14:textId="3298B9A1" w:rsidR="008E0687" w:rsidRDefault="000601CF" w:rsidP="008E0687">
                                  <w:pPr>
                                    <w:pStyle w:val="Intestazione"/>
                                    <w:jc w:val="center"/>
                                  </w:pPr>
                                  <w:r w:rsidRPr="00674134">
                                    <w:rPr>
                                      <w:sz w:val="22"/>
                                      <w:szCs w:val="22"/>
                                    </w:rPr>
                                    <w:fldChar w:fldCharType="begin"/>
                                  </w:r>
                                  <w:r w:rsidR="008E0687">
                                    <w:instrText>PAGE    \* MERGEFORMAT</w:instrText>
                                  </w:r>
                                  <w:r w:rsidRPr="00674134">
                                    <w:rPr>
                                      <w:sz w:val="22"/>
                                      <w:szCs w:val="22"/>
                                    </w:rPr>
                                    <w:fldChar w:fldCharType="separate"/>
                                  </w:r>
                                  <w:r w:rsidR="00BF11CD" w:rsidRPr="00BF11CD">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DFE41" id="Gruppo 3" o:spid="_x0000_s1032" style="position:absolute;left:0;text-align:left;margin-left:556.75pt;margin-top:772.9pt;width:38.45pt;height:18.7pt;z-index:25167257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17994D1F" w14:textId="3298B9A1" w:rsidR="008E0687" w:rsidRDefault="000601CF" w:rsidP="008E0687">
                            <w:pPr>
                              <w:pStyle w:val="Intestazione"/>
                              <w:jc w:val="center"/>
                            </w:pPr>
                            <w:r w:rsidRPr="00674134">
                              <w:rPr>
                                <w:sz w:val="22"/>
                                <w:szCs w:val="22"/>
                              </w:rPr>
                              <w:fldChar w:fldCharType="begin"/>
                            </w:r>
                            <w:r w:rsidR="008E0687">
                              <w:instrText>PAGE    \* MERGEFORMAT</w:instrText>
                            </w:r>
                            <w:r w:rsidRPr="00674134">
                              <w:rPr>
                                <w:sz w:val="22"/>
                                <w:szCs w:val="22"/>
                              </w:rPr>
                              <w:fldChar w:fldCharType="separate"/>
                            </w:r>
                            <w:r w:rsidR="00BF11CD" w:rsidRPr="00BF11CD">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anchorx="page" anchory="page"/>
                  </v:group>
                </w:pict>
              </mc:Fallback>
            </mc:AlternateContent>
          </w:r>
          <w:r w:rsidR="008E0687" w:rsidRPr="00674134">
            <w:rPr>
              <w:rFonts w:ascii="Calibri" w:hAnsi="Calibri" w:cs="Calibri"/>
              <w:b/>
              <w:color w:val="808080"/>
              <w:sz w:val="18"/>
              <w:szCs w:val="18"/>
            </w:rPr>
            <w:t xml:space="preserve">Ufficio stampa </w:t>
          </w:r>
          <w:proofErr w:type="spellStart"/>
          <w:r w:rsidR="008E0687" w:rsidRPr="00674134">
            <w:rPr>
              <w:rFonts w:ascii="Calibri" w:hAnsi="Calibri" w:cs="Calibri"/>
              <w:b/>
              <w:color w:val="808080"/>
              <w:sz w:val="18"/>
              <w:szCs w:val="18"/>
            </w:rPr>
            <w:t>Unioncamere</w:t>
          </w:r>
          <w:proofErr w:type="spellEnd"/>
          <w:r w:rsidR="008E0687" w:rsidRPr="00674134">
            <w:rPr>
              <w:rFonts w:ascii="Calibri" w:hAnsi="Calibri" w:cs="Calibri"/>
              <w:b/>
              <w:color w:val="808080"/>
              <w:sz w:val="18"/>
              <w:szCs w:val="18"/>
            </w:rPr>
            <w:t xml:space="preserve"> - </w:t>
          </w:r>
          <w:r w:rsidR="008E0687">
            <w:rPr>
              <w:rFonts w:ascii="Calibri" w:hAnsi="Calibri" w:cs="Calibri"/>
              <w:color w:val="808080"/>
              <w:sz w:val="18"/>
              <w:szCs w:val="18"/>
            </w:rPr>
            <w:t xml:space="preserve">06.4704 </w:t>
          </w:r>
          <w:r w:rsidR="008E0687" w:rsidRPr="00674134">
            <w:rPr>
              <w:rFonts w:ascii="Calibri" w:hAnsi="Calibri" w:cs="Calibri"/>
              <w:color w:val="808080"/>
              <w:sz w:val="18"/>
              <w:szCs w:val="18"/>
            </w:rPr>
            <w:t>350</w:t>
          </w:r>
          <w:r w:rsidR="00247843">
            <w:rPr>
              <w:rFonts w:ascii="Calibri" w:hAnsi="Calibri" w:cs="Calibri"/>
              <w:color w:val="808080"/>
              <w:sz w:val="18"/>
              <w:szCs w:val="18"/>
            </w:rPr>
            <w:t xml:space="preserve"> </w:t>
          </w:r>
          <w:r w:rsidR="003259C6">
            <w:rPr>
              <w:rFonts w:ascii="Calibri" w:hAnsi="Calibri" w:cs="Calibri"/>
              <w:color w:val="808080"/>
              <w:sz w:val="18"/>
              <w:szCs w:val="18"/>
            </w:rPr>
            <w:t>-</w:t>
          </w:r>
          <w:r w:rsidR="0050036D" w:rsidRPr="00247843">
            <w:rPr>
              <w:rFonts w:ascii="Calibri" w:hAnsi="Calibri" w:cs="Calibri"/>
              <w:color w:val="808080"/>
              <w:sz w:val="18"/>
              <w:szCs w:val="18"/>
            </w:rPr>
            <w:t>264</w:t>
          </w:r>
        </w:p>
        <w:p w14:paraId="4B3F6297" w14:textId="77777777" w:rsidR="008E0687" w:rsidRPr="00674134" w:rsidRDefault="00F679FD" w:rsidP="008E0687">
          <w:pPr>
            <w:pStyle w:val="Didascalia"/>
            <w:jc w:val="center"/>
            <w:rPr>
              <w:rFonts w:ascii="Calibri" w:hAnsi="Calibri" w:cs="Calibri"/>
              <w:i w:val="0"/>
              <w:color w:val="808080"/>
              <w:sz w:val="18"/>
              <w:szCs w:val="18"/>
            </w:rPr>
          </w:pPr>
          <w:hyperlink r:id="rId1" w:history="1">
            <w:r w:rsidR="008E0687" w:rsidRPr="00674134">
              <w:rPr>
                <w:rStyle w:val="Collegamentoipertestuale"/>
                <w:rFonts w:ascii="Calibri" w:hAnsi="Calibri" w:cs="Calibri"/>
                <w:i w:val="0"/>
                <w:sz w:val="18"/>
                <w:szCs w:val="18"/>
              </w:rPr>
              <w:t>ufficio.stampa@unioncamere.it</w:t>
            </w:r>
          </w:hyperlink>
          <w:r w:rsidR="008E0687" w:rsidRPr="00674134">
            <w:rPr>
              <w:rFonts w:ascii="Calibri" w:hAnsi="Calibri" w:cs="Calibri"/>
              <w:i w:val="0"/>
              <w:color w:val="808080"/>
              <w:sz w:val="18"/>
              <w:szCs w:val="18"/>
            </w:rPr>
            <w:t xml:space="preserve"> - </w:t>
          </w:r>
          <w:hyperlink r:id="rId2" w:history="1">
            <w:r w:rsidR="008E0687" w:rsidRPr="00674134">
              <w:rPr>
                <w:rStyle w:val="Collegamentoipertestuale"/>
                <w:rFonts w:ascii="Calibri" w:hAnsi="Calibri" w:cs="Calibri"/>
                <w:i w:val="0"/>
                <w:sz w:val="18"/>
                <w:szCs w:val="18"/>
              </w:rPr>
              <w:t>www.unioncamere.gov.it</w:t>
            </w:r>
          </w:hyperlink>
        </w:p>
        <w:p w14:paraId="59B620FB" w14:textId="77777777" w:rsidR="008E0687" w:rsidRPr="00674134" w:rsidRDefault="008E0687" w:rsidP="008E0687">
          <w:pPr>
            <w:pStyle w:val="Didascalia"/>
            <w:jc w:val="center"/>
            <w:rPr>
              <w:rFonts w:ascii="Calibri" w:hAnsi="Calibri" w:cs="Calibri"/>
              <w:i w:val="0"/>
              <w:color w:val="808080"/>
              <w:sz w:val="18"/>
              <w:szCs w:val="18"/>
            </w:rPr>
          </w:pPr>
          <w:r w:rsidRPr="00674134">
            <w:rPr>
              <w:rFonts w:ascii="Calibri" w:hAnsi="Calibri" w:cs="Calibri"/>
              <w:i w:val="0"/>
              <w:color w:val="808080"/>
              <w:sz w:val="18"/>
              <w:szCs w:val="18"/>
            </w:rPr>
            <w:t>twitter.com/</w:t>
          </w:r>
          <w:proofErr w:type="spellStart"/>
          <w:r w:rsidRPr="00674134">
            <w:rPr>
              <w:rFonts w:ascii="Calibri" w:hAnsi="Calibri" w:cs="Calibri"/>
              <w:i w:val="0"/>
              <w:color w:val="808080"/>
              <w:sz w:val="18"/>
              <w:szCs w:val="18"/>
            </w:rPr>
            <w:t>unioncamere</w:t>
          </w:r>
          <w:proofErr w:type="spellEnd"/>
        </w:p>
      </w:tc>
      <w:tc>
        <w:tcPr>
          <w:tcW w:w="5670" w:type="dxa"/>
          <w:tcBorders>
            <w:left w:val="single" w:sz="4" w:space="0" w:color="808080"/>
          </w:tcBorders>
        </w:tcPr>
        <w:p w14:paraId="3B1C2D21" w14:textId="77777777" w:rsidR="00483A9A" w:rsidRDefault="008E0687" w:rsidP="008E0687">
          <w:pPr>
            <w:pStyle w:val="Pidipagina"/>
            <w:jc w:val="center"/>
            <w:rPr>
              <w:rFonts w:ascii="Calibri" w:hAnsi="Calibri" w:cs="Calibri"/>
              <w:b/>
              <w:color w:val="808080"/>
              <w:sz w:val="18"/>
              <w:szCs w:val="18"/>
            </w:rPr>
          </w:pPr>
          <w:r>
            <w:rPr>
              <w:rFonts w:ascii="Calibri" w:hAnsi="Calibri" w:cs="Calibri"/>
              <w:b/>
              <w:color w:val="808080"/>
              <w:sz w:val="18"/>
              <w:szCs w:val="18"/>
            </w:rPr>
            <w:t xml:space="preserve">Responsabile ufficio stampa e comunicazione </w:t>
          </w:r>
        </w:p>
        <w:p w14:paraId="42FC0CB3" w14:textId="77777777" w:rsidR="00483A9A" w:rsidRDefault="008E0687" w:rsidP="008E0687">
          <w:pPr>
            <w:pStyle w:val="Pidipagina"/>
            <w:jc w:val="center"/>
            <w:rPr>
              <w:rFonts w:ascii="Calibri" w:hAnsi="Calibri" w:cs="Calibri"/>
              <w:b/>
              <w:color w:val="808080"/>
              <w:sz w:val="18"/>
              <w:szCs w:val="18"/>
            </w:rPr>
          </w:pPr>
          <w:r>
            <w:rPr>
              <w:rFonts w:ascii="Calibri" w:hAnsi="Calibri" w:cs="Calibri"/>
              <w:b/>
              <w:color w:val="808080"/>
              <w:sz w:val="18"/>
              <w:szCs w:val="18"/>
            </w:rPr>
            <w:t xml:space="preserve">Centro </w:t>
          </w:r>
          <w:r w:rsidR="00C6139F">
            <w:rPr>
              <w:rFonts w:ascii="Calibri" w:hAnsi="Calibri" w:cs="Calibri"/>
              <w:b/>
              <w:color w:val="808080"/>
              <w:sz w:val="18"/>
              <w:szCs w:val="18"/>
            </w:rPr>
            <w:t>Studi delle C</w:t>
          </w:r>
          <w:r>
            <w:rPr>
              <w:rFonts w:ascii="Calibri" w:hAnsi="Calibri" w:cs="Calibri"/>
              <w:b/>
              <w:color w:val="808080"/>
              <w:sz w:val="18"/>
              <w:szCs w:val="18"/>
            </w:rPr>
            <w:t>amere di commercio G</w:t>
          </w:r>
          <w:r w:rsidR="00C6139F">
            <w:rPr>
              <w:rFonts w:ascii="Calibri" w:hAnsi="Calibri" w:cs="Calibri"/>
              <w:b/>
              <w:color w:val="808080"/>
              <w:sz w:val="18"/>
              <w:szCs w:val="18"/>
            </w:rPr>
            <w:t xml:space="preserve">. </w:t>
          </w:r>
          <w:proofErr w:type="spellStart"/>
          <w:r>
            <w:rPr>
              <w:rFonts w:ascii="Calibri" w:hAnsi="Calibri" w:cs="Calibri"/>
              <w:b/>
              <w:color w:val="808080"/>
              <w:sz w:val="18"/>
              <w:szCs w:val="18"/>
            </w:rPr>
            <w:t>Tagliacarne</w:t>
          </w:r>
          <w:proofErr w:type="spellEnd"/>
          <w:r>
            <w:rPr>
              <w:rFonts w:ascii="Calibri" w:hAnsi="Calibri" w:cs="Calibri"/>
              <w:b/>
              <w:color w:val="808080"/>
              <w:sz w:val="18"/>
              <w:szCs w:val="18"/>
            </w:rPr>
            <w:t xml:space="preserve"> </w:t>
          </w:r>
          <w:r w:rsidR="00483A9A">
            <w:rPr>
              <w:rFonts w:ascii="Calibri" w:hAnsi="Calibri" w:cs="Calibri"/>
              <w:b/>
              <w:color w:val="808080"/>
              <w:sz w:val="18"/>
              <w:szCs w:val="18"/>
            </w:rPr>
            <w:t xml:space="preserve"> </w:t>
          </w:r>
        </w:p>
        <w:p w14:paraId="5A801454" w14:textId="77777777" w:rsidR="00A77D0C" w:rsidRDefault="00A77D0C" w:rsidP="00B8212B">
          <w:pPr>
            <w:pStyle w:val="Pidipagina"/>
            <w:ind w:left="452" w:hanging="452"/>
            <w:jc w:val="center"/>
            <w:rPr>
              <w:rFonts w:ascii="Calibri" w:hAnsi="Calibri" w:cs="Calibri"/>
              <w:b/>
              <w:color w:val="808080"/>
              <w:sz w:val="18"/>
              <w:szCs w:val="18"/>
            </w:rPr>
          </w:pPr>
          <w:r w:rsidRPr="00A77D0C">
            <w:rPr>
              <w:rFonts w:ascii="Calibri" w:hAnsi="Calibri" w:cs="Calibri"/>
              <w:b/>
              <w:color w:val="808080"/>
              <w:sz w:val="18"/>
              <w:szCs w:val="18"/>
            </w:rPr>
            <w:t xml:space="preserve">Loredana </w:t>
          </w:r>
          <w:proofErr w:type="spellStart"/>
          <w:r w:rsidRPr="00A77D0C">
            <w:rPr>
              <w:rFonts w:ascii="Calibri" w:hAnsi="Calibri" w:cs="Calibri"/>
              <w:b/>
              <w:color w:val="808080"/>
              <w:sz w:val="18"/>
              <w:szCs w:val="18"/>
            </w:rPr>
            <w:t>Capuozzo</w:t>
          </w:r>
          <w:proofErr w:type="spellEnd"/>
          <w:r w:rsidRPr="00A77D0C">
            <w:rPr>
              <w:rFonts w:ascii="Calibri" w:hAnsi="Calibri" w:cs="Calibri"/>
              <w:b/>
              <w:color w:val="808080"/>
              <w:sz w:val="18"/>
              <w:szCs w:val="18"/>
            </w:rPr>
            <w:t xml:space="preserve">  </w:t>
          </w:r>
          <w:r w:rsidR="00432A61">
            <w:rPr>
              <w:rFonts w:ascii="Calibri" w:hAnsi="Calibri" w:cs="Calibri"/>
              <w:b/>
              <w:color w:val="808080"/>
              <w:sz w:val="18"/>
              <w:szCs w:val="18"/>
            </w:rPr>
            <w:t xml:space="preserve"> </w:t>
          </w:r>
          <w:proofErr w:type="spellStart"/>
          <w:r w:rsidRPr="00A77D0C">
            <w:rPr>
              <w:rFonts w:ascii="Calibri" w:hAnsi="Calibri" w:cs="Calibri"/>
              <w:b/>
              <w:color w:val="808080"/>
              <w:sz w:val="18"/>
              <w:szCs w:val="18"/>
            </w:rPr>
            <w:t>cell</w:t>
          </w:r>
          <w:proofErr w:type="spellEnd"/>
          <w:r w:rsidRPr="00A77D0C">
            <w:rPr>
              <w:rFonts w:ascii="Calibri" w:hAnsi="Calibri" w:cs="Calibri"/>
              <w:b/>
              <w:color w:val="808080"/>
              <w:sz w:val="18"/>
              <w:szCs w:val="18"/>
            </w:rPr>
            <w:t xml:space="preserve">. 331.6098963   </w:t>
          </w:r>
          <w:r>
            <w:rPr>
              <w:rFonts w:ascii="Calibri" w:hAnsi="Calibri" w:cs="Calibri"/>
              <w:b/>
              <w:color w:val="808080"/>
              <w:sz w:val="18"/>
              <w:szCs w:val="18"/>
            </w:rPr>
            <w:t xml:space="preserve">email: </w:t>
          </w:r>
          <w:r w:rsidR="002A48E2">
            <w:rPr>
              <w:rFonts w:ascii="Calibri" w:hAnsi="Calibri" w:cs="Calibri"/>
              <w:b/>
              <w:color w:val="808080"/>
              <w:sz w:val="18"/>
              <w:szCs w:val="18"/>
            </w:rPr>
            <w:t>l</w:t>
          </w:r>
          <w:r w:rsidRPr="00A77D0C">
            <w:rPr>
              <w:rFonts w:ascii="Calibri" w:hAnsi="Calibri" w:cs="Calibri"/>
              <w:b/>
              <w:color w:val="808080"/>
              <w:sz w:val="18"/>
              <w:szCs w:val="18"/>
            </w:rPr>
            <w:t xml:space="preserve">.capuozzo@tagliacarne.it </w:t>
          </w:r>
        </w:p>
        <w:p w14:paraId="7E98CA88" w14:textId="77777777" w:rsidR="008E0687" w:rsidRPr="00674134" w:rsidRDefault="00F679FD" w:rsidP="00432A61">
          <w:pPr>
            <w:pStyle w:val="Pidipagina"/>
            <w:jc w:val="center"/>
            <w:rPr>
              <w:rFonts w:ascii="Calibri" w:hAnsi="Calibri" w:cs="Calibri"/>
              <w:color w:val="808080"/>
              <w:sz w:val="18"/>
              <w:szCs w:val="18"/>
            </w:rPr>
          </w:pPr>
          <w:hyperlink r:id="rId3" w:history="1">
            <w:r w:rsidR="003F5572" w:rsidRPr="00471E9E">
              <w:rPr>
                <w:rStyle w:val="Collegamentoipertestuale"/>
                <w:rFonts w:ascii="Calibri" w:hAnsi="Calibri" w:cs="Calibri"/>
                <w:sz w:val="18"/>
                <w:szCs w:val="18"/>
              </w:rPr>
              <w:t>www.tagliacarne.it</w:t>
            </w:r>
          </w:hyperlink>
          <w:r w:rsidR="00432A61">
            <w:rPr>
              <w:rStyle w:val="Collegamentoipertestuale"/>
              <w:rFonts w:ascii="Calibri" w:hAnsi="Calibri" w:cs="Calibri"/>
              <w:sz w:val="18"/>
              <w:szCs w:val="18"/>
            </w:rPr>
            <w:t xml:space="preserve">  </w:t>
          </w:r>
          <w:r w:rsidR="008E0687" w:rsidRPr="00674134">
            <w:rPr>
              <w:rFonts w:ascii="Calibri" w:hAnsi="Calibri" w:cs="Calibri"/>
              <w:color w:val="808080"/>
              <w:sz w:val="18"/>
              <w:szCs w:val="18"/>
            </w:rPr>
            <w:t>twitter.com/</w:t>
          </w:r>
          <w:r w:rsidR="00483A9A" w:rsidRPr="00483A9A">
            <w:rPr>
              <w:rFonts w:ascii="Calibri" w:hAnsi="Calibri" w:cs="Calibri"/>
              <w:color w:val="808080"/>
              <w:sz w:val="18"/>
              <w:szCs w:val="18"/>
            </w:rPr>
            <w:t xml:space="preserve"> </w:t>
          </w:r>
          <w:proofErr w:type="spellStart"/>
          <w:r w:rsidR="00483A9A" w:rsidRPr="00483A9A">
            <w:rPr>
              <w:rFonts w:ascii="Calibri" w:hAnsi="Calibri" w:cs="Calibri"/>
              <w:color w:val="808080"/>
              <w:sz w:val="18"/>
              <w:szCs w:val="18"/>
            </w:rPr>
            <w:t>IstTagliacarne</w:t>
          </w:r>
          <w:proofErr w:type="spellEnd"/>
        </w:p>
      </w:tc>
    </w:tr>
  </w:tbl>
  <w:p w14:paraId="5130C71C" w14:textId="760E16D8" w:rsidR="001D48B2" w:rsidRPr="008E0687" w:rsidRDefault="008E09F6" w:rsidP="008E0687">
    <w:pPr>
      <w:pStyle w:val="Pidipagina"/>
    </w:pPr>
    <w:r>
      <w:rPr>
        <w:rFonts w:asciiTheme="majorHAnsi" w:eastAsiaTheme="majorEastAsia" w:hAnsiTheme="majorHAnsi" w:cstheme="majorBidi"/>
        <w:noProof/>
        <w:sz w:val="28"/>
        <w:szCs w:val="28"/>
      </w:rPr>
      <mc:AlternateContent>
        <mc:Choice Requires="wps">
          <w:drawing>
            <wp:anchor distT="0" distB="0" distL="114300" distR="114300" simplePos="0" relativeHeight="251676672" behindDoc="0" locked="0" layoutInCell="0" allowOverlap="1" wp14:anchorId="7AAFF174" wp14:editId="7A179723">
              <wp:simplePos x="0" y="0"/>
              <wp:positionH relativeFrom="rightMargin">
                <wp:posOffset>440055</wp:posOffset>
              </wp:positionH>
              <wp:positionV relativeFrom="page">
                <wp:posOffset>9395460</wp:posOffset>
              </wp:positionV>
              <wp:extent cx="320040" cy="332740"/>
              <wp:effectExtent l="0" t="0" r="0" b="0"/>
              <wp:wrapNone/>
              <wp:docPr id="16" name="Ova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32740"/>
                      </a:xfrm>
                      <a:prstGeom prst="ellipse">
                        <a:avLst/>
                      </a:prstGeom>
                      <a:solidFill>
                        <a:schemeClr val="accent1"/>
                      </a:solidFill>
                      <a:ln>
                        <a:noFill/>
                      </a:ln>
                    </wps:spPr>
                    <wps:txbx>
                      <w:txbxContent>
                        <w:p w14:paraId="2EAC3F84" w14:textId="741A3298" w:rsidR="00B565A4" w:rsidRDefault="000601CF">
                          <w:pPr>
                            <w:rPr>
                              <w:rStyle w:val="Numeropagina"/>
                              <w:color w:val="FFFFFF" w:themeColor="background1"/>
                              <w:szCs w:val="24"/>
                            </w:rPr>
                          </w:pPr>
                          <w:r>
                            <w:rPr>
                              <w:sz w:val="22"/>
                              <w:szCs w:val="22"/>
                            </w:rPr>
                            <w:fldChar w:fldCharType="begin"/>
                          </w:r>
                          <w:r w:rsidR="00B565A4">
                            <w:instrText>PAGE    \* MERGEFORMAT</w:instrText>
                          </w:r>
                          <w:r>
                            <w:rPr>
                              <w:sz w:val="22"/>
                              <w:szCs w:val="22"/>
                            </w:rPr>
                            <w:fldChar w:fldCharType="separate"/>
                          </w:r>
                          <w:r w:rsidR="00BF11CD" w:rsidRPr="00BF11CD">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FF174" id="Ovale 16" o:spid="_x0000_s1037" style="position:absolute;left:0;text-align:left;margin-left:34.65pt;margin-top:739.8pt;width:25.2pt;height:26.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" o:allowincell="f" fillcolor="#5b9bd5 [3204]" stroked="f">
              <v:textbox inset="0,,0">
                <w:txbxContent>
                  <w:p w14:paraId="2EAC3F84" w14:textId="741A3298" w:rsidR="00B565A4" w:rsidRDefault="000601CF">
                    <w:pPr>
                      <w:rPr>
                        <w:rStyle w:val="Numeropagina"/>
                        <w:color w:val="FFFFFF" w:themeColor="background1"/>
                        <w:szCs w:val="24"/>
                      </w:rPr>
                    </w:pPr>
                    <w:r>
                      <w:rPr>
                        <w:sz w:val="22"/>
                        <w:szCs w:val="22"/>
                      </w:rPr>
                      <w:fldChar w:fldCharType="begin"/>
                    </w:r>
                    <w:r w:rsidR="00B565A4">
                      <w:instrText>PAGE    \* MERGEFORMAT</w:instrText>
                    </w:r>
                    <w:r>
                      <w:rPr>
                        <w:sz w:val="22"/>
                        <w:szCs w:val="22"/>
                      </w:rPr>
                      <w:fldChar w:fldCharType="separate"/>
                    </w:r>
                    <w:r w:rsidR="00BF11CD" w:rsidRPr="00BF11CD">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0845B" w14:textId="77777777" w:rsidR="00F679FD" w:rsidRDefault="00F679FD">
      <w:r>
        <w:separator/>
      </w:r>
    </w:p>
  </w:footnote>
  <w:footnote w:type="continuationSeparator" w:id="0">
    <w:p w14:paraId="3DB7DA13" w14:textId="77777777" w:rsidR="00F679FD" w:rsidRDefault="00F67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23E6" w14:textId="77777777" w:rsidR="00EB5491" w:rsidRDefault="00EB5491" w:rsidP="00EB5491">
    <w:pPr>
      <w:pStyle w:val="Intestazione"/>
      <w:ind w:left="5670"/>
    </w:pPr>
    <w:r>
      <w:rPr>
        <w:noProof/>
      </w:rPr>
      <w:drawing>
        <wp:anchor distT="0" distB="0" distL="114300" distR="114300" simplePos="0" relativeHeight="251670528" behindDoc="1" locked="0" layoutInCell="1" allowOverlap="1" wp14:anchorId="778B84EB" wp14:editId="3E772E1F">
          <wp:simplePos x="0" y="0"/>
          <wp:positionH relativeFrom="column">
            <wp:posOffset>-677545</wp:posOffset>
          </wp:positionH>
          <wp:positionV relativeFrom="paragraph">
            <wp:posOffset>18822</wp:posOffset>
          </wp:positionV>
          <wp:extent cx="2494915" cy="586968"/>
          <wp:effectExtent l="0" t="0" r="635" b="3810"/>
          <wp:wrapNone/>
          <wp:docPr id="2" name="Immagine 2"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297" cy="596704"/>
                  </a:xfrm>
                  <a:prstGeom prst="rect">
                    <a:avLst/>
                  </a:prstGeom>
                  <a:noFill/>
                  <a:ln>
                    <a:noFill/>
                  </a:ln>
                </pic:spPr>
              </pic:pic>
            </a:graphicData>
          </a:graphic>
        </wp:anchor>
      </w:drawing>
    </w:r>
    <w:r w:rsidRPr="00EB5491">
      <w:rPr>
        <w:noProof/>
      </w:rPr>
      <w:drawing>
        <wp:inline distT="0" distB="0" distL="0" distR="0" wp14:anchorId="7D3133C0" wp14:editId="639B3A71">
          <wp:extent cx="2715826" cy="636791"/>
          <wp:effectExtent l="0" t="0" r="0" b="0"/>
          <wp:docPr id="1" name="Immagine 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335" cy="65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0.65pt;height:50.65pt" o:bullet="t">
        <v:imagedata r:id="rId1" o:title="ico_uc_email"/>
      </v:shape>
    </w:pict>
  </w:numPicBullet>
  <w:abstractNum w:abstractNumId="0"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6"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F0"/>
    <w:rsid w:val="00014811"/>
    <w:rsid w:val="00025355"/>
    <w:rsid w:val="00027F2E"/>
    <w:rsid w:val="00043006"/>
    <w:rsid w:val="000533F9"/>
    <w:rsid w:val="00054023"/>
    <w:rsid w:val="000601CF"/>
    <w:rsid w:val="00065EAB"/>
    <w:rsid w:val="000732A6"/>
    <w:rsid w:val="00081250"/>
    <w:rsid w:val="000A0D17"/>
    <w:rsid w:val="000A5C7E"/>
    <w:rsid w:val="000A71E9"/>
    <w:rsid w:val="000B2D19"/>
    <w:rsid w:val="000B6C06"/>
    <w:rsid w:val="000C48B9"/>
    <w:rsid w:val="000C7F11"/>
    <w:rsid w:val="000D06CB"/>
    <w:rsid w:val="000D7D12"/>
    <w:rsid w:val="000E48CB"/>
    <w:rsid w:val="000E5BF7"/>
    <w:rsid w:val="000E669F"/>
    <w:rsid w:val="000E6FE3"/>
    <w:rsid w:val="000F2D02"/>
    <w:rsid w:val="00112E7A"/>
    <w:rsid w:val="00113CA9"/>
    <w:rsid w:val="00114CC3"/>
    <w:rsid w:val="0011671A"/>
    <w:rsid w:val="00117C47"/>
    <w:rsid w:val="00120F09"/>
    <w:rsid w:val="00140A97"/>
    <w:rsid w:val="0014309F"/>
    <w:rsid w:val="00162BBF"/>
    <w:rsid w:val="00172A83"/>
    <w:rsid w:val="00183DE7"/>
    <w:rsid w:val="001873E2"/>
    <w:rsid w:val="0019162E"/>
    <w:rsid w:val="001956FC"/>
    <w:rsid w:val="001A0430"/>
    <w:rsid w:val="001B14D1"/>
    <w:rsid w:val="001B3001"/>
    <w:rsid w:val="001B76D7"/>
    <w:rsid w:val="001D48B2"/>
    <w:rsid w:val="001D48E0"/>
    <w:rsid w:val="001E79D7"/>
    <w:rsid w:val="001F4790"/>
    <w:rsid w:val="001F4B6B"/>
    <w:rsid w:val="001F781D"/>
    <w:rsid w:val="001F7BB3"/>
    <w:rsid w:val="0021595E"/>
    <w:rsid w:val="002203EB"/>
    <w:rsid w:val="00223583"/>
    <w:rsid w:val="0022565B"/>
    <w:rsid w:val="002260C5"/>
    <w:rsid w:val="00226B11"/>
    <w:rsid w:val="00232088"/>
    <w:rsid w:val="00234BB9"/>
    <w:rsid w:val="002355BF"/>
    <w:rsid w:val="00247843"/>
    <w:rsid w:val="002518CC"/>
    <w:rsid w:val="002539D1"/>
    <w:rsid w:val="00272EC1"/>
    <w:rsid w:val="002814E2"/>
    <w:rsid w:val="00283941"/>
    <w:rsid w:val="00283E30"/>
    <w:rsid w:val="00290AE9"/>
    <w:rsid w:val="002934B8"/>
    <w:rsid w:val="00297F88"/>
    <w:rsid w:val="002A0881"/>
    <w:rsid w:val="002A48E2"/>
    <w:rsid w:val="002B1971"/>
    <w:rsid w:val="002B506B"/>
    <w:rsid w:val="002C2807"/>
    <w:rsid w:val="002C7B2B"/>
    <w:rsid w:val="002C7F50"/>
    <w:rsid w:val="002D4712"/>
    <w:rsid w:val="002D5384"/>
    <w:rsid w:val="002F1B7D"/>
    <w:rsid w:val="002F41B8"/>
    <w:rsid w:val="002F56D6"/>
    <w:rsid w:val="00304CFD"/>
    <w:rsid w:val="003105A7"/>
    <w:rsid w:val="0031402D"/>
    <w:rsid w:val="003156F3"/>
    <w:rsid w:val="003259C6"/>
    <w:rsid w:val="003506B5"/>
    <w:rsid w:val="00370284"/>
    <w:rsid w:val="00370D06"/>
    <w:rsid w:val="00383763"/>
    <w:rsid w:val="003864F8"/>
    <w:rsid w:val="00391D84"/>
    <w:rsid w:val="00395DC2"/>
    <w:rsid w:val="00397FA8"/>
    <w:rsid w:val="003A3477"/>
    <w:rsid w:val="003A3B47"/>
    <w:rsid w:val="003A5F12"/>
    <w:rsid w:val="003B5391"/>
    <w:rsid w:val="003B6807"/>
    <w:rsid w:val="003C24D9"/>
    <w:rsid w:val="003D0F8B"/>
    <w:rsid w:val="003D1FF1"/>
    <w:rsid w:val="003E19DF"/>
    <w:rsid w:val="003E7B9B"/>
    <w:rsid w:val="003F170F"/>
    <w:rsid w:val="003F3C66"/>
    <w:rsid w:val="003F5572"/>
    <w:rsid w:val="004038E8"/>
    <w:rsid w:val="004139EB"/>
    <w:rsid w:val="00415E34"/>
    <w:rsid w:val="00416B25"/>
    <w:rsid w:val="00421946"/>
    <w:rsid w:val="00422F2B"/>
    <w:rsid w:val="00425AFA"/>
    <w:rsid w:val="00425D86"/>
    <w:rsid w:val="00432A61"/>
    <w:rsid w:val="0043471E"/>
    <w:rsid w:val="0043569A"/>
    <w:rsid w:val="0045607C"/>
    <w:rsid w:val="004570FB"/>
    <w:rsid w:val="00465476"/>
    <w:rsid w:val="00477D8E"/>
    <w:rsid w:val="00483A9A"/>
    <w:rsid w:val="00486A92"/>
    <w:rsid w:val="00494885"/>
    <w:rsid w:val="004A4E70"/>
    <w:rsid w:val="004A7DD9"/>
    <w:rsid w:val="004B1EB8"/>
    <w:rsid w:val="004D4A3D"/>
    <w:rsid w:val="004E5AE7"/>
    <w:rsid w:val="004F0CB6"/>
    <w:rsid w:val="004F7FCF"/>
    <w:rsid w:val="0050036D"/>
    <w:rsid w:val="00501D9E"/>
    <w:rsid w:val="0050294D"/>
    <w:rsid w:val="00510367"/>
    <w:rsid w:val="00511BAA"/>
    <w:rsid w:val="00513F62"/>
    <w:rsid w:val="00516183"/>
    <w:rsid w:val="005266AF"/>
    <w:rsid w:val="00526B59"/>
    <w:rsid w:val="005419C1"/>
    <w:rsid w:val="00552605"/>
    <w:rsid w:val="0055469A"/>
    <w:rsid w:val="00554A1D"/>
    <w:rsid w:val="005569D7"/>
    <w:rsid w:val="00577C2E"/>
    <w:rsid w:val="005830A3"/>
    <w:rsid w:val="00585753"/>
    <w:rsid w:val="00590232"/>
    <w:rsid w:val="00592124"/>
    <w:rsid w:val="00597E82"/>
    <w:rsid w:val="005A3766"/>
    <w:rsid w:val="005A51C5"/>
    <w:rsid w:val="005A6A48"/>
    <w:rsid w:val="005A7555"/>
    <w:rsid w:val="005B5C91"/>
    <w:rsid w:val="005C224F"/>
    <w:rsid w:val="005C7142"/>
    <w:rsid w:val="005D7E24"/>
    <w:rsid w:val="005E5CF9"/>
    <w:rsid w:val="005E6593"/>
    <w:rsid w:val="005F2F58"/>
    <w:rsid w:val="005F5F7E"/>
    <w:rsid w:val="005F6A2C"/>
    <w:rsid w:val="006030CC"/>
    <w:rsid w:val="006050A4"/>
    <w:rsid w:val="006126AD"/>
    <w:rsid w:val="0061403C"/>
    <w:rsid w:val="006220F3"/>
    <w:rsid w:val="006307F2"/>
    <w:rsid w:val="006364D9"/>
    <w:rsid w:val="00651E35"/>
    <w:rsid w:val="00653CDB"/>
    <w:rsid w:val="006544F7"/>
    <w:rsid w:val="00664174"/>
    <w:rsid w:val="00690246"/>
    <w:rsid w:val="006A7D9D"/>
    <w:rsid w:val="006B5152"/>
    <w:rsid w:val="006B5594"/>
    <w:rsid w:val="006C3D08"/>
    <w:rsid w:val="006C5714"/>
    <w:rsid w:val="006D1DDB"/>
    <w:rsid w:val="006D3554"/>
    <w:rsid w:val="006D4122"/>
    <w:rsid w:val="00703D43"/>
    <w:rsid w:val="0070505A"/>
    <w:rsid w:val="007210BC"/>
    <w:rsid w:val="00730050"/>
    <w:rsid w:val="007445AB"/>
    <w:rsid w:val="007473EF"/>
    <w:rsid w:val="00750547"/>
    <w:rsid w:val="0075396C"/>
    <w:rsid w:val="00771336"/>
    <w:rsid w:val="00771F68"/>
    <w:rsid w:val="00784174"/>
    <w:rsid w:val="007A43BB"/>
    <w:rsid w:val="007B065C"/>
    <w:rsid w:val="007B3772"/>
    <w:rsid w:val="007C0665"/>
    <w:rsid w:val="007C1EC8"/>
    <w:rsid w:val="007C6476"/>
    <w:rsid w:val="007E6007"/>
    <w:rsid w:val="007E640A"/>
    <w:rsid w:val="007E7CB9"/>
    <w:rsid w:val="007F382B"/>
    <w:rsid w:val="007F5B39"/>
    <w:rsid w:val="00816DDA"/>
    <w:rsid w:val="00823440"/>
    <w:rsid w:val="008337B5"/>
    <w:rsid w:val="0084095D"/>
    <w:rsid w:val="008436D8"/>
    <w:rsid w:val="0084493B"/>
    <w:rsid w:val="00850EF3"/>
    <w:rsid w:val="00864FFA"/>
    <w:rsid w:val="008676E1"/>
    <w:rsid w:val="00881512"/>
    <w:rsid w:val="008C2442"/>
    <w:rsid w:val="008C4E07"/>
    <w:rsid w:val="008C5430"/>
    <w:rsid w:val="008C7BA4"/>
    <w:rsid w:val="008D14B5"/>
    <w:rsid w:val="008D29BF"/>
    <w:rsid w:val="008E0361"/>
    <w:rsid w:val="008E0687"/>
    <w:rsid w:val="008E09F6"/>
    <w:rsid w:val="008E1F3B"/>
    <w:rsid w:val="008E7325"/>
    <w:rsid w:val="008E75C6"/>
    <w:rsid w:val="008F1D33"/>
    <w:rsid w:val="008F7DCC"/>
    <w:rsid w:val="00902C95"/>
    <w:rsid w:val="009034FD"/>
    <w:rsid w:val="00905575"/>
    <w:rsid w:val="00910DD4"/>
    <w:rsid w:val="009128B5"/>
    <w:rsid w:val="0091435F"/>
    <w:rsid w:val="009164CB"/>
    <w:rsid w:val="009342AA"/>
    <w:rsid w:val="0094203B"/>
    <w:rsid w:val="00942459"/>
    <w:rsid w:val="0094397C"/>
    <w:rsid w:val="00945D5A"/>
    <w:rsid w:val="009472C4"/>
    <w:rsid w:val="009551B7"/>
    <w:rsid w:val="00972706"/>
    <w:rsid w:val="00975D64"/>
    <w:rsid w:val="009768EC"/>
    <w:rsid w:val="009770E9"/>
    <w:rsid w:val="0097786A"/>
    <w:rsid w:val="009863C4"/>
    <w:rsid w:val="00991118"/>
    <w:rsid w:val="009913AD"/>
    <w:rsid w:val="009A2AD5"/>
    <w:rsid w:val="009B4840"/>
    <w:rsid w:val="009C3C0E"/>
    <w:rsid w:val="009C5104"/>
    <w:rsid w:val="009C72BC"/>
    <w:rsid w:val="009D001D"/>
    <w:rsid w:val="009D62EB"/>
    <w:rsid w:val="009F52A6"/>
    <w:rsid w:val="009F794A"/>
    <w:rsid w:val="00A11480"/>
    <w:rsid w:val="00A136DF"/>
    <w:rsid w:val="00A21315"/>
    <w:rsid w:val="00A30E69"/>
    <w:rsid w:val="00A350BB"/>
    <w:rsid w:val="00A406A1"/>
    <w:rsid w:val="00A51521"/>
    <w:rsid w:val="00A67184"/>
    <w:rsid w:val="00A71EE9"/>
    <w:rsid w:val="00A77D0C"/>
    <w:rsid w:val="00A81424"/>
    <w:rsid w:val="00AB1911"/>
    <w:rsid w:val="00AB6CE6"/>
    <w:rsid w:val="00AC08E2"/>
    <w:rsid w:val="00AC4933"/>
    <w:rsid w:val="00AD2AC9"/>
    <w:rsid w:val="00AD6F4D"/>
    <w:rsid w:val="00AE260C"/>
    <w:rsid w:val="00AE4520"/>
    <w:rsid w:val="00AF0F77"/>
    <w:rsid w:val="00B120B7"/>
    <w:rsid w:val="00B1305D"/>
    <w:rsid w:val="00B228D6"/>
    <w:rsid w:val="00B27CD5"/>
    <w:rsid w:val="00B431FA"/>
    <w:rsid w:val="00B565A4"/>
    <w:rsid w:val="00B6044A"/>
    <w:rsid w:val="00B639D0"/>
    <w:rsid w:val="00B63DEA"/>
    <w:rsid w:val="00B66DED"/>
    <w:rsid w:val="00B70E8C"/>
    <w:rsid w:val="00B8212B"/>
    <w:rsid w:val="00B8428E"/>
    <w:rsid w:val="00B844F4"/>
    <w:rsid w:val="00B85539"/>
    <w:rsid w:val="00B873D9"/>
    <w:rsid w:val="00B95C96"/>
    <w:rsid w:val="00BA522E"/>
    <w:rsid w:val="00BB57D0"/>
    <w:rsid w:val="00BC331E"/>
    <w:rsid w:val="00BC5936"/>
    <w:rsid w:val="00BD1FB6"/>
    <w:rsid w:val="00BE0681"/>
    <w:rsid w:val="00BE20C2"/>
    <w:rsid w:val="00BE21E6"/>
    <w:rsid w:val="00BE7ED1"/>
    <w:rsid w:val="00BF11CD"/>
    <w:rsid w:val="00BF5990"/>
    <w:rsid w:val="00C048F1"/>
    <w:rsid w:val="00C136A7"/>
    <w:rsid w:val="00C37616"/>
    <w:rsid w:val="00C444CF"/>
    <w:rsid w:val="00C45946"/>
    <w:rsid w:val="00C503D8"/>
    <w:rsid w:val="00C6139F"/>
    <w:rsid w:val="00C7019D"/>
    <w:rsid w:val="00C70CCC"/>
    <w:rsid w:val="00C716BC"/>
    <w:rsid w:val="00C75001"/>
    <w:rsid w:val="00C76689"/>
    <w:rsid w:val="00C806F6"/>
    <w:rsid w:val="00C83C71"/>
    <w:rsid w:val="00C83CA0"/>
    <w:rsid w:val="00C83FFB"/>
    <w:rsid w:val="00C86F0C"/>
    <w:rsid w:val="00CA2910"/>
    <w:rsid w:val="00CA570B"/>
    <w:rsid w:val="00CA59DE"/>
    <w:rsid w:val="00CA7779"/>
    <w:rsid w:val="00CA7E07"/>
    <w:rsid w:val="00CB5308"/>
    <w:rsid w:val="00CC45BE"/>
    <w:rsid w:val="00CC578F"/>
    <w:rsid w:val="00CD132D"/>
    <w:rsid w:val="00CD2E08"/>
    <w:rsid w:val="00CE220C"/>
    <w:rsid w:val="00CE32FB"/>
    <w:rsid w:val="00D03B66"/>
    <w:rsid w:val="00D13E32"/>
    <w:rsid w:val="00D21833"/>
    <w:rsid w:val="00D21BF9"/>
    <w:rsid w:val="00D2375D"/>
    <w:rsid w:val="00D26B55"/>
    <w:rsid w:val="00D27F04"/>
    <w:rsid w:val="00D33FE0"/>
    <w:rsid w:val="00D50A2E"/>
    <w:rsid w:val="00D60235"/>
    <w:rsid w:val="00D70193"/>
    <w:rsid w:val="00D7350E"/>
    <w:rsid w:val="00D75BEB"/>
    <w:rsid w:val="00D91F2A"/>
    <w:rsid w:val="00D9214E"/>
    <w:rsid w:val="00D92FA2"/>
    <w:rsid w:val="00DA098B"/>
    <w:rsid w:val="00DA3569"/>
    <w:rsid w:val="00DB3E6C"/>
    <w:rsid w:val="00DB6AF3"/>
    <w:rsid w:val="00DC1583"/>
    <w:rsid w:val="00DC65F8"/>
    <w:rsid w:val="00DD24FE"/>
    <w:rsid w:val="00DF6E00"/>
    <w:rsid w:val="00E02C6F"/>
    <w:rsid w:val="00E07F2C"/>
    <w:rsid w:val="00E130C4"/>
    <w:rsid w:val="00E17B1C"/>
    <w:rsid w:val="00E2381C"/>
    <w:rsid w:val="00E40976"/>
    <w:rsid w:val="00E441ED"/>
    <w:rsid w:val="00E525B5"/>
    <w:rsid w:val="00E549A6"/>
    <w:rsid w:val="00E554BA"/>
    <w:rsid w:val="00E61160"/>
    <w:rsid w:val="00E62944"/>
    <w:rsid w:val="00E73EF8"/>
    <w:rsid w:val="00E77BF0"/>
    <w:rsid w:val="00E900B4"/>
    <w:rsid w:val="00E9066A"/>
    <w:rsid w:val="00EA0258"/>
    <w:rsid w:val="00EB36A7"/>
    <w:rsid w:val="00EB5491"/>
    <w:rsid w:val="00EC3CF6"/>
    <w:rsid w:val="00EC4239"/>
    <w:rsid w:val="00ED2398"/>
    <w:rsid w:val="00ED2DBB"/>
    <w:rsid w:val="00ED5DD2"/>
    <w:rsid w:val="00ED6CAB"/>
    <w:rsid w:val="00EE02C9"/>
    <w:rsid w:val="00EE582D"/>
    <w:rsid w:val="00EE7CD9"/>
    <w:rsid w:val="00EF3407"/>
    <w:rsid w:val="00F00216"/>
    <w:rsid w:val="00F073C7"/>
    <w:rsid w:val="00F07A5F"/>
    <w:rsid w:val="00F11378"/>
    <w:rsid w:val="00F12432"/>
    <w:rsid w:val="00F14483"/>
    <w:rsid w:val="00F1472D"/>
    <w:rsid w:val="00F15BA1"/>
    <w:rsid w:val="00F31AB6"/>
    <w:rsid w:val="00F355F3"/>
    <w:rsid w:val="00F54689"/>
    <w:rsid w:val="00F56CB4"/>
    <w:rsid w:val="00F618A2"/>
    <w:rsid w:val="00F64E76"/>
    <w:rsid w:val="00F679FD"/>
    <w:rsid w:val="00F71EE8"/>
    <w:rsid w:val="00F75217"/>
    <w:rsid w:val="00F75B18"/>
    <w:rsid w:val="00F76CF7"/>
    <w:rsid w:val="00F7784A"/>
    <w:rsid w:val="00F83A05"/>
    <w:rsid w:val="00F848D9"/>
    <w:rsid w:val="00F860B4"/>
    <w:rsid w:val="00F93456"/>
    <w:rsid w:val="00F94231"/>
    <w:rsid w:val="00FA6385"/>
    <w:rsid w:val="00FA69C6"/>
    <w:rsid w:val="00FB10E8"/>
    <w:rsid w:val="00FB44F5"/>
    <w:rsid w:val="00FB5F61"/>
    <w:rsid w:val="00FC297E"/>
    <w:rsid w:val="00FC740A"/>
    <w:rsid w:val="00FC7B3D"/>
    <w:rsid w:val="00FD304D"/>
    <w:rsid w:val="00FD401E"/>
    <w:rsid w:val="00FD4410"/>
    <w:rsid w:val="00FD6EFC"/>
    <w:rsid w:val="00FE1ACE"/>
    <w:rsid w:val="00FF1A36"/>
    <w:rsid w:val="00FF1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B02E3"/>
  <w15:docId w15:val="{EFFDC1D6-2018-4BDC-9932-F3CC393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3F62"/>
    <w:pPr>
      <w:jc w:val="both"/>
    </w:pPr>
    <w:rPr>
      <w:sz w:val="24"/>
    </w:rPr>
  </w:style>
  <w:style w:type="paragraph" w:styleId="Titolo1">
    <w:name w:val="heading 1"/>
    <w:aliases w:val="Titolo capitolo"/>
    <w:basedOn w:val="Normale"/>
    <w:next w:val="Normale"/>
    <w:qFormat/>
    <w:rsid w:val="000601CF"/>
    <w:pPr>
      <w:keepNext/>
      <w:jc w:val="center"/>
      <w:outlineLvl w:val="0"/>
    </w:pPr>
    <w:rPr>
      <w:b/>
    </w:rPr>
  </w:style>
  <w:style w:type="paragraph" w:styleId="Titolo2">
    <w:name w:val="heading 2"/>
    <w:basedOn w:val="Normale"/>
    <w:next w:val="Normale"/>
    <w:qFormat/>
    <w:rsid w:val="000601CF"/>
    <w:pPr>
      <w:keepNext/>
      <w:outlineLvl w:val="1"/>
    </w:pPr>
    <w:rPr>
      <w:b/>
    </w:rPr>
  </w:style>
  <w:style w:type="paragraph" w:styleId="Titolo3">
    <w:name w:val="heading 3"/>
    <w:basedOn w:val="Normale"/>
    <w:next w:val="Normal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qFormat/>
    <w:rsid w:val="000601CF"/>
    <w:pPr>
      <w:keepNext/>
      <w:outlineLvl w:val="6"/>
    </w:pPr>
    <w:rPr>
      <w:rFonts w:ascii="Arial" w:hAnsi="Arial"/>
      <w:b/>
      <w:sz w:val="18"/>
    </w:rPr>
  </w:style>
  <w:style w:type="paragraph" w:styleId="Titolo8">
    <w:name w:val="heading 8"/>
    <w:basedOn w:val="Normale"/>
    <w:next w:val="Normal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rsid w:val="000601CF"/>
    <w:rPr>
      <w:sz w:val="28"/>
    </w:rPr>
  </w:style>
  <w:style w:type="paragraph" w:styleId="Corpodeltesto2">
    <w:name w:val="Body Text 2"/>
    <w:basedOn w:val="Normale"/>
    <w:semiHidden/>
    <w:rsid w:val="000601CF"/>
    <w:rPr>
      <w:sz w:val="26"/>
    </w:rPr>
  </w:style>
  <w:style w:type="paragraph" w:styleId="Titolo">
    <w:name w:val="Title"/>
    <w:basedOn w:val="Normale"/>
    <w:qFormat/>
    <w:rsid w:val="000601CF"/>
    <w:pPr>
      <w:jc w:val="center"/>
    </w:pPr>
    <w:rPr>
      <w:i/>
      <w:sz w:val="26"/>
    </w:rPr>
  </w:style>
  <w:style w:type="paragraph" w:styleId="Sottotitolo">
    <w:name w:val="Subtitle"/>
    <w:basedOn w:val="Normale"/>
    <w:qFormat/>
    <w:rsid w:val="000601CF"/>
    <w:pPr>
      <w:jc w:val="center"/>
    </w:pPr>
    <w:rPr>
      <w:b/>
      <w:sz w:val="32"/>
    </w:rPr>
  </w:style>
  <w:style w:type="character" w:styleId="Collegamentoipertestuale">
    <w:name w:val="Hyperlink"/>
    <w:rsid w:val="000601CF"/>
    <w:rPr>
      <w:color w:val="0000FF"/>
      <w:u w:val="single"/>
    </w:rPr>
  </w:style>
  <w:style w:type="paragraph" w:styleId="Mappadocumento">
    <w:name w:val="Document Map"/>
    <w:basedOn w:val="Normal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elelavoro\Desktop\Green%20e%20Blue%20Economy\Dati%20Blue\Blue_Economy_IT_fina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Foglio2!$N$22</c:f>
              <c:strCache>
                <c:ptCount val="1"/>
                <c:pt idx="0">
                  <c:v>Valore aggiunto prodotto (scala sn)</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Foglio2!$M$23:$M$29</c:f>
              <c:strCache>
                <c:ptCount val="7"/>
                <c:pt idx="0">
                  <c:v>Servizi di alloggio e ristorazione</c:v>
                </c:pt>
                <c:pt idx="1">
                  <c:v>Movimentazione di merci e passeggeri via mare</c:v>
                </c:pt>
                <c:pt idx="2">
                  <c:v>Filiera della cantieristica navale</c:v>
                </c:pt>
                <c:pt idx="3">
                  <c:v>Ricerca, regolamentazione e tutela ambientale</c:v>
                </c:pt>
                <c:pt idx="4">
                  <c:v>Filiera ittica</c:v>
                </c:pt>
                <c:pt idx="5">
                  <c:v>Attività sportive e ricreative</c:v>
                </c:pt>
                <c:pt idx="6">
                  <c:v>industria delle estrazioni marine</c:v>
                </c:pt>
              </c:strCache>
            </c:strRef>
          </c:cat>
          <c:val>
            <c:numRef>
              <c:f>Foglio2!$N$23:$N$29</c:f>
              <c:numCache>
                <c:formatCode>General</c:formatCode>
                <c:ptCount val="7"/>
                <c:pt idx="0">
                  <c:v>14.4</c:v>
                </c:pt>
                <c:pt idx="1">
                  <c:v>8.2000000000000011</c:v>
                </c:pt>
                <c:pt idx="2">
                  <c:v>7.3</c:v>
                </c:pt>
                <c:pt idx="3">
                  <c:v>8.1</c:v>
                </c:pt>
                <c:pt idx="4">
                  <c:v>3.4</c:v>
                </c:pt>
                <c:pt idx="5">
                  <c:v>2.7</c:v>
                </c:pt>
                <c:pt idx="6">
                  <c:v>2.6</c:v>
                </c:pt>
              </c:numCache>
            </c:numRef>
          </c:val>
          <c:extLst>
            <c:ext xmlns:c16="http://schemas.microsoft.com/office/drawing/2014/chart" uri="{C3380CC4-5D6E-409C-BE32-E72D297353CC}">
              <c16:uniqueId val="{00000000-E184-442F-8B09-0C01FB18749F}"/>
            </c:ext>
          </c:extLst>
        </c:ser>
        <c:ser>
          <c:idx val="1"/>
          <c:order val="1"/>
          <c:tx>
            <c:strRef>
              <c:f>Foglio2!$O$22</c:f>
              <c:strCache>
                <c:ptCount val="1"/>
                <c:pt idx="0">
                  <c:v>Valore aggiunto attivato (scala sn)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Foglio2!$M$23:$M$29</c:f>
              <c:strCache>
                <c:ptCount val="7"/>
                <c:pt idx="0">
                  <c:v>Servizi di alloggio e ristorazione</c:v>
                </c:pt>
                <c:pt idx="1">
                  <c:v>Movimentazione di merci e passeggeri via mare</c:v>
                </c:pt>
                <c:pt idx="2">
                  <c:v>Filiera della cantieristica navale</c:v>
                </c:pt>
                <c:pt idx="3">
                  <c:v>Ricerca, regolamentazione e tutela ambientale</c:v>
                </c:pt>
                <c:pt idx="4">
                  <c:v>Filiera ittica</c:v>
                </c:pt>
                <c:pt idx="5">
                  <c:v>Attività sportive e ricreative</c:v>
                </c:pt>
                <c:pt idx="6">
                  <c:v>industria delle estrazioni marine</c:v>
                </c:pt>
              </c:strCache>
            </c:strRef>
          </c:cat>
          <c:val>
            <c:numRef>
              <c:f>Foglio2!$O$23:$O$29</c:f>
              <c:numCache>
                <c:formatCode>General</c:formatCode>
                <c:ptCount val="7"/>
                <c:pt idx="0">
                  <c:v>28.1</c:v>
                </c:pt>
                <c:pt idx="1">
                  <c:v>23.2</c:v>
                </c:pt>
                <c:pt idx="2">
                  <c:v>17.600000000000001</c:v>
                </c:pt>
                <c:pt idx="3">
                  <c:v>3.9</c:v>
                </c:pt>
                <c:pt idx="4">
                  <c:v>6.3</c:v>
                </c:pt>
                <c:pt idx="5">
                  <c:v>5.7</c:v>
                </c:pt>
                <c:pt idx="6">
                  <c:v>3.1</c:v>
                </c:pt>
              </c:numCache>
            </c:numRef>
          </c:val>
          <c:extLst>
            <c:ext xmlns:c16="http://schemas.microsoft.com/office/drawing/2014/chart" uri="{C3380CC4-5D6E-409C-BE32-E72D297353CC}">
              <c16:uniqueId val="{00000001-E184-442F-8B09-0C01FB18749F}"/>
            </c:ext>
          </c:extLst>
        </c:ser>
        <c:dLbls>
          <c:showLegendKey val="0"/>
          <c:showVal val="0"/>
          <c:showCatName val="0"/>
          <c:showSerName val="0"/>
          <c:showPercent val="0"/>
          <c:showBubbleSize val="0"/>
        </c:dLbls>
        <c:gapWidth val="150"/>
        <c:overlap val="100"/>
        <c:axId val="154276608"/>
        <c:axId val="154278144"/>
      </c:barChart>
      <c:lineChart>
        <c:grouping val="standard"/>
        <c:varyColors val="0"/>
        <c:ser>
          <c:idx val="2"/>
          <c:order val="2"/>
          <c:tx>
            <c:strRef>
              <c:f>Foglio2!$P$22</c:f>
              <c:strCache>
                <c:ptCount val="1"/>
                <c:pt idx="0">
                  <c:v>Moltiplicatore (scala dx)</c:v>
                </c:pt>
              </c:strCache>
            </c:strRef>
          </c:tx>
          <c:spPr>
            <a:ln w="28575" cap="rnd">
              <a:solidFill>
                <a:schemeClr val="accent1">
                  <a:tint val="65000"/>
                </a:schemeClr>
              </a:solidFill>
              <a:round/>
            </a:ln>
            <a:effectLst/>
          </c:spPr>
          <c:marker>
            <c:symbol val="none"/>
          </c:marker>
          <c:dPt>
            <c:idx val="1"/>
            <c:bubble3D val="0"/>
            <c:spPr>
              <a:ln w="28575" cap="rnd">
                <a:solidFill>
                  <a:schemeClr val="accent1">
                    <a:tint val="65000"/>
                  </a:schemeClr>
                </a:solidFill>
                <a:prstDash val="dashDot"/>
                <a:round/>
              </a:ln>
              <a:effectLst/>
            </c:spPr>
            <c:extLst>
              <c:ext xmlns:c16="http://schemas.microsoft.com/office/drawing/2014/chart" uri="{C3380CC4-5D6E-409C-BE32-E72D297353CC}">
                <c16:uniqueId val="{00000003-E184-442F-8B09-0C01FB18749F}"/>
              </c:ext>
            </c:extLst>
          </c:dPt>
          <c:dPt>
            <c:idx val="2"/>
            <c:bubble3D val="0"/>
            <c:spPr>
              <a:ln w="28575" cap="rnd">
                <a:solidFill>
                  <a:schemeClr val="accent1">
                    <a:tint val="65000"/>
                  </a:schemeClr>
                </a:solidFill>
                <a:prstDash val="dashDot"/>
                <a:round/>
              </a:ln>
              <a:effectLst/>
            </c:spPr>
            <c:extLst>
              <c:ext xmlns:c16="http://schemas.microsoft.com/office/drawing/2014/chart" uri="{C3380CC4-5D6E-409C-BE32-E72D297353CC}">
                <c16:uniqueId val="{00000005-E184-442F-8B09-0C01FB18749F}"/>
              </c:ext>
            </c:extLst>
          </c:dPt>
          <c:dPt>
            <c:idx val="3"/>
            <c:bubble3D val="0"/>
            <c:spPr>
              <a:ln w="28575" cap="rnd">
                <a:solidFill>
                  <a:schemeClr val="accent1">
                    <a:tint val="65000"/>
                  </a:schemeClr>
                </a:solidFill>
                <a:prstDash val="dashDot"/>
                <a:round/>
              </a:ln>
              <a:effectLst/>
            </c:spPr>
            <c:extLst>
              <c:ext xmlns:c16="http://schemas.microsoft.com/office/drawing/2014/chart" uri="{C3380CC4-5D6E-409C-BE32-E72D297353CC}">
                <c16:uniqueId val="{00000007-E184-442F-8B09-0C01FB18749F}"/>
              </c:ext>
            </c:extLst>
          </c:dPt>
          <c:dPt>
            <c:idx val="4"/>
            <c:bubble3D val="0"/>
            <c:spPr>
              <a:ln w="28575" cap="rnd">
                <a:solidFill>
                  <a:schemeClr val="accent1">
                    <a:tint val="65000"/>
                  </a:schemeClr>
                </a:solidFill>
                <a:prstDash val="dashDot"/>
                <a:round/>
              </a:ln>
              <a:effectLst/>
            </c:spPr>
            <c:extLst>
              <c:ext xmlns:c16="http://schemas.microsoft.com/office/drawing/2014/chart" uri="{C3380CC4-5D6E-409C-BE32-E72D297353CC}">
                <c16:uniqueId val="{00000009-E184-442F-8B09-0C01FB18749F}"/>
              </c:ext>
            </c:extLst>
          </c:dPt>
          <c:dPt>
            <c:idx val="5"/>
            <c:bubble3D val="0"/>
            <c:spPr>
              <a:ln w="28575" cap="rnd">
                <a:solidFill>
                  <a:schemeClr val="accent1">
                    <a:tint val="65000"/>
                  </a:schemeClr>
                </a:solidFill>
                <a:prstDash val="dashDot"/>
                <a:round/>
              </a:ln>
              <a:effectLst/>
            </c:spPr>
            <c:extLst>
              <c:ext xmlns:c16="http://schemas.microsoft.com/office/drawing/2014/chart" uri="{C3380CC4-5D6E-409C-BE32-E72D297353CC}">
                <c16:uniqueId val="{0000000B-E184-442F-8B09-0C01FB18749F}"/>
              </c:ext>
            </c:extLst>
          </c:dPt>
          <c:dPt>
            <c:idx val="6"/>
            <c:bubble3D val="0"/>
            <c:spPr>
              <a:ln w="28575" cap="rnd">
                <a:solidFill>
                  <a:schemeClr val="accent1">
                    <a:tint val="65000"/>
                  </a:schemeClr>
                </a:solidFill>
                <a:prstDash val="dashDot"/>
                <a:round/>
              </a:ln>
              <a:effectLst/>
            </c:spPr>
            <c:extLst>
              <c:ext xmlns:c16="http://schemas.microsoft.com/office/drawing/2014/chart" uri="{C3380CC4-5D6E-409C-BE32-E72D297353CC}">
                <c16:uniqueId val="{0000000D-E184-442F-8B09-0C01FB18749F}"/>
              </c:ext>
            </c:extLst>
          </c:dPt>
          <c:dLbls>
            <c:dLbl>
              <c:idx val="0"/>
              <c:layout>
                <c:manualLayout>
                  <c:x val="-2.4959153543307088E-2"/>
                  <c:y val="-0.148499691215070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184-442F-8B09-0C01FB18749F}"/>
                </c:ext>
              </c:extLst>
            </c:dLbl>
            <c:dLbl>
              <c:idx val="1"/>
              <c:layout>
                <c:manualLayout>
                  <c:x val="-3.0174212598425697E-2"/>
                  <c:y val="-3.52111316967736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84-442F-8B09-0C01FB18749F}"/>
                </c:ext>
              </c:extLst>
            </c:dLbl>
            <c:dLbl>
              <c:idx val="2"/>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84-442F-8B09-0C01FB18749F}"/>
                </c:ext>
              </c:extLst>
            </c:dLbl>
            <c:dLbl>
              <c:idx val="3"/>
              <c:layout>
                <c:manualLayout>
                  <c:x val="-2.7083333333333643E-2"/>
                  <c:y val="-8.3333333333333565E-2"/>
                </c:manualLayout>
              </c:layout>
              <c:spPr>
                <a:noFill/>
                <a:ln>
                  <a:noFill/>
                </a:ln>
                <a:effectLst/>
              </c:spPr>
              <c:txPr>
                <a:bodyPr rot="0" spcFirstLastPara="1" vertOverflow="ellipsis" horzOverflow="clip" vert="horz" wrap="square" lIns="38100" tIns="19050" rIns="38100" bIns="19050" anchor="ctr" anchorCtr="1">
                  <a:noAutofit/>
                </a:bodyPr>
                <a:lstStyle/>
                <a:p>
                  <a:pPr>
                    <a:defRPr sz="800" b="1"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E184-442F-8B09-0C01FB18749F}"/>
                </c:ext>
              </c:extLst>
            </c:dLbl>
            <c:dLbl>
              <c:idx val="4"/>
              <c:layout>
                <c:manualLayout>
                  <c:x val="-1.5590894917368468E-3"/>
                  <c:y val="-5.8685446009389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184-442F-8B09-0C01FB18749F}"/>
                </c:ext>
              </c:extLst>
            </c:dLbl>
            <c:dLbl>
              <c:idx val="5"/>
              <c:layout>
                <c:manualLayout>
                  <c:x val="0"/>
                  <c:y val="-2.40746313572073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184-442F-8B09-0C01FB18749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Foglio2!$M$23:$M$29</c:f>
              <c:strCache>
                <c:ptCount val="7"/>
                <c:pt idx="0">
                  <c:v>Servizi di alloggio e ristorazione</c:v>
                </c:pt>
                <c:pt idx="1">
                  <c:v>Movimentazione di merci e passeggeri via mare</c:v>
                </c:pt>
                <c:pt idx="2">
                  <c:v>Filiera della cantieristica navale</c:v>
                </c:pt>
                <c:pt idx="3">
                  <c:v>Ricerca, regolamentazione e tutela ambientale</c:v>
                </c:pt>
                <c:pt idx="4">
                  <c:v>Filiera ittica</c:v>
                </c:pt>
                <c:pt idx="5">
                  <c:v>Attività sportive e ricreative</c:v>
                </c:pt>
                <c:pt idx="6">
                  <c:v>industria delle estrazioni marine</c:v>
                </c:pt>
              </c:strCache>
            </c:strRef>
          </c:cat>
          <c:val>
            <c:numRef>
              <c:f>Foglio2!$P$23:$P$29</c:f>
              <c:numCache>
                <c:formatCode>General</c:formatCode>
                <c:ptCount val="7"/>
                <c:pt idx="0">
                  <c:v>1.9000000000000001</c:v>
                </c:pt>
                <c:pt idx="1">
                  <c:v>2.8</c:v>
                </c:pt>
                <c:pt idx="2">
                  <c:v>2.4</c:v>
                </c:pt>
                <c:pt idx="3">
                  <c:v>0.5</c:v>
                </c:pt>
                <c:pt idx="4">
                  <c:v>1.9000000000000001</c:v>
                </c:pt>
                <c:pt idx="5">
                  <c:v>2.1</c:v>
                </c:pt>
                <c:pt idx="6">
                  <c:v>1.2</c:v>
                </c:pt>
              </c:numCache>
            </c:numRef>
          </c:val>
          <c:smooth val="0"/>
          <c:extLst>
            <c:ext xmlns:c16="http://schemas.microsoft.com/office/drawing/2014/chart" uri="{C3380CC4-5D6E-409C-BE32-E72D297353CC}">
              <c16:uniqueId val="{0000000F-E184-442F-8B09-0C01FB18749F}"/>
            </c:ext>
          </c:extLst>
        </c:ser>
        <c:dLbls>
          <c:showLegendKey val="0"/>
          <c:showVal val="0"/>
          <c:showCatName val="0"/>
          <c:showSerName val="0"/>
          <c:showPercent val="0"/>
          <c:showBubbleSize val="0"/>
        </c:dLbls>
        <c:marker val="1"/>
        <c:smooth val="0"/>
        <c:axId val="154297856"/>
        <c:axId val="154296320"/>
      </c:lineChart>
      <c:catAx>
        <c:axId val="15427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it-IT"/>
          </a:p>
        </c:txPr>
        <c:crossAx val="154278144"/>
        <c:crosses val="autoZero"/>
        <c:auto val="1"/>
        <c:lblAlgn val="ctr"/>
        <c:lblOffset val="100"/>
        <c:noMultiLvlLbl val="0"/>
      </c:catAx>
      <c:valAx>
        <c:axId val="1542781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ysClr val="windowText" lastClr="000000"/>
                </a:solidFill>
                <a:latin typeface="+mn-lt"/>
                <a:ea typeface="+mn-ea"/>
                <a:cs typeface="+mn-cs"/>
              </a:defRPr>
            </a:pPr>
            <a:endParaRPr lang="it-IT"/>
          </a:p>
        </c:txPr>
        <c:crossAx val="154276608"/>
        <c:crosses val="autoZero"/>
        <c:crossBetween val="between"/>
        <c:majorUnit val="10"/>
      </c:valAx>
      <c:valAx>
        <c:axId val="154296320"/>
        <c:scaling>
          <c:orientation val="minMax"/>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it-IT"/>
          </a:p>
        </c:txPr>
        <c:crossAx val="154297856"/>
        <c:crosses val="max"/>
        <c:crossBetween val="between"/>
        <c:majorUnit val="1"/>
      </c:valAx>
      <c:catAx>
        <c:axId val="154297856"/>
        <c:scaling>
          <c:orientation val="minMax"/>
        </c:scaling>
        <c:delete val="1"/>
        <c:axPos val="b"/>
        <c:numFmt formatCode="General" sourceLinked="1"/>
        <c:majorTickMark val="out"/>
        <c:minorTickMark val="none"/>
        <c:tickLblPos val="none"/>
        <c:crossAx val="1542963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6748-0A04-4226-B491-535E2475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Template>
  <TotalTime>28</TotalTime>
  <Pages>3</Pages>
  <Words>909</Words>
  <Characters>5185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6082</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User</cp:lastModifiedBy>
  <cp:revision>13</cp:revision>
  <cp:lastPrinted>2016-04-06T15:43:00Z</cp:lastPrinted>
  <dcterms:created xsi:type="dcterms:W3CDTF">2021-03-15T16:56:00Z</dcterms:created>
  <dcterms:modified xsi:type="dcterms:W3CDTF">2021-03-17T10:15:00Z</dcterms:modified>
</cp:coreProperties>
</file>