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C915" w14:textId="77777777" w:rsidR="005206D4" w:rsidRDefault="00742506">
      <w:pPr>
        <w:jc w:val="left"/>
        <w:rPr>
          <w:rStyle w:val="Nessuno"/>
          <w:rFonts w:ascii="Arial" w:eastAsia="Arial" w:hAnsi="Arial" w:cs="Arial"/>
          <w:b/>
          <w:bCs/>
          <w:color w:val="071D49"/>
          <w:spacing w:val="-20"/>
          <w:kern w:val="144"/>
          <w:sz w:val="36"/>
          <w:szCs w:val="36"/>
          <w:u w:color="071D49"/>
        </w:rPr>
      </w:pPr>
      <w:r>
        <w:rPr>
          <w:rStyle w:val="Nessuno"/>
          <w:noProof/>
        </w:rPr>
        <w:drawing>
          <wp:anchor distT="57150" distB="57150" distL="57150" distR="57150" simplePos="0" relativeHeight="251659264" behindDoc="0" locked="0" layoutInCell="1" allowOverlap="1" wp14:anchorId="1D595628" wp14:editId="074AF255">
            <wp:simplePos x="0" y="0"/>
            <wp:positionH relativeFrom="column">
              <wp:posOffset>3809365</wp:posOffset>
            </wp:positionH>
            <wp:positionV relativeFrom="line">
              <wp:posOffset>41910</wp:posOffset>
            </wp:positionV>
            <wp:extent cx="1895475" cy="352425"/>
            <wp:effectExtent l="0" t="0" r="0" b="0"/>
            <wp:wrapSquare wrapText="bothSides" distT="57150" distB="57150" distL="57150" distR="5715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52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Verdana" w:eastAsia="Verdana" w:hAnsi="Verdana" w:cs="Verdana"/>
          <w:i/>
          <w:iCs/>
          <w:noProof/>
          <w:sz w:val="18"/>
          <w:szCs w:val="18"/>
        </w:rPr>
        <w:drawing>
          <wp:inline distT="0" distB="0" distL="0" distR="0" wp14:anchorId="613F6A63" wp14:editId="58E14B0E">
            <wp:extent cx="1711167" cy="361646"/>
            <wp:effectExtent l="0" t="0" r="0" b="0"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1167" cy="3616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FFFF0E8" w14:textId="77777777" w:rsidR="005206D4" w:rsidRDefault="005206D4">
      <w:pPr>
        <w:jc w:val="left"/>
        <w:rPr>
          <w:rStyle w:val="Nessuno"/>
          <w:rFonts w:ascii="Arial" w:eastAsia="Arial" w:hAnsi="Arial" w:cs="Arial"/>
          <w:b/>
          <w:bCs/>
          <w:color w:val="071D49"/>
          <w:spacing w:val="-20"/>
          <w:kern w:val="144"/>
          <w:sz w:val="36"/>
          <w:szCs w:val="36"/>
          <w:u w:color="071D49"/>
        </w:rPr>
      </w:pPr>
    </w:p>
    <w:p w14:paraId="18CA0306" w14:textId="77777777" w:rsidR="005206D4" w:rsidRDefault="005206D4">
      <w:pPr>
        <w:jc w:val="left"/>
        <w:rPr>
          <w:rStyle w:val="Nessuno"/>
          <w:rFonts w:ascii="Arial" w:eastAsia="Arial" w:hAnsi="Arial" w:cs="Arial"/>
          <w:color w:val="071D49"/>
          <w:kern w:val="144"/>
          <w:u w:color="071D49"/>
        </w:rPr>
      </w:pPr>
    </w:p>
    <w:p w14:paraId="18E2B1B5" w14:textId="77777777" w:rsidR="005206D4" w:rsidRDefault="00742506">
      <w:pPr>
        <w:jc w:val="left"/>
        <w:rPr>
          <w:rStyle w:val="Nessuno"/>
          <w:rFonts w:ascii="Arial" w:eastAsia="Arial" w:hAnsi="Arial" w:cs="Arial"/>
          <w:color w:val="071D49"/>
          <w:u w:color="071D49"/>
        </w:rPr>
      </w:pPr>
      <w:r>
        <w:rPr>
          <w:rStyle w:val="Nessuno"/>
          <w:rFonts w:ascii="Arial" w:hAnsi="Arial"/>
          <w:color w:val="071D49"/>
          <w:kern w:val="144"/>
          <w:u w:color="071D49"/>
        </w:rPr>
        <w:t>Comunicato stampa</w:t>
      </w:r>
    </w:p>
    <w:p w14:paraId="4BC82CE4" w14:textId="77777777" w:rsidR="005206D4" w:rsidRDefault="005206D4">
      <w:pPr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</w:p>
    <w:p w14:paraId="596F1340" w14:textId="77777777" w:rsidR="005206D4" w:rsidRDefault="005206D4">
      <w:pPr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</w:p>
    <w:p w14:paraId="154251B9" w14:textId="77777777" w:rsidR="005206D4" w:rsidRDefault="00742506">
      <w:pPr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essuno"/>
          <w:rFonts w:ascii="Calibri" w:hAnsi="Calibri"/>
          <w:b/>
          <w:bCs/>
          <w:sz w:val="32"/>
          <w:szCs w:val="32"/>
        </w:rPr>
        <w:t>Turismo: Bologna, Milano e i Colli Euganei i più accessibili</w:t>
      </w:r>
    </w:p>
    <w:p w14:paraId="2C45E706" w14:textId="77777777" w:rsidR="005206D4" w:rsidRDefault="00742506">
      <w:pPr>
        <w:jc w:val="center"/>
        <w:rPr>
          <w:rStyle w:val="Nessuno"/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I risultati della ricerca su connettività e accessibilità </w:t>
      </w:r>
    </w:p>
    <w:p w14:paraId="10BC893B" w14:textId="77777777" w:rsidR="005206D4" w:rsidRDefault="00742506">
      <w:pPr>
        <w:jc w:val="center"/>
        <w:rPr>
          <w:rStyle w:val="Nessuno"/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delle mete turistiche italiane</w:t>
      </w:r>
    </w:p>
    <w:p w14:paraId="2BE94AD1" w14:textId="77777777" w:rsidR="005206D4" w:rsidRDefault="005206D4">
      <w:pPr>
        <w:jc w:val="left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14:paraId="2FE7F81D" w14:textId="77777777" w:rsidR="005206D4" w:rsidRDefault="005206D4">
      <w:pPr>
        <w:rPr>
          <w:rStyle w:val="Nessuno"/>
          <w:rFonts w:ascii="Calibri" w:eastAsia="Calibri" w:hAnsi="Calibri" w:cs="Calibri"/>
          <w:sz w:val="20"/>
          <w:szCs w:val="20"/>
        </w:rPr>
      </w:pPr>
    </w:p>
    <w:p w14:paraId="71262F3F" w14:textId="77777777" w:rsidR="005206D4" w:rsidRDefault="005206D4">
      <w:pPr>
        <w:rPr>
          <w:rStyle w:val="Nessuno"/>
          <w:rFonts w:ascii="Calibri" w:eastAsia="Calibri" w:hAnsi="Calibri" w:cs="Calibri"/>
          <w:sz w:val="20"/>
          <w:szCs w:val="20"/>
        </w:rPr>
      </w:pPr>
    </w:p>
    <w:p w14:paraId="60EF855C" w14:textId="651F191A" w:rsidR="005206D4" w:rsidRDefault="00742506">
      <w:pPr>
        <w:pStyle w:val="Pidipagina"/>
        <w:tabs>
          <w:tab w:val="clear" w:pos="9638"/>
          <w:tab w:val="right" w:pos="8762"/>
        </w:tabs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  <w:i/>
          <w:iCs/>
        </w:rPr>
        <w:t xml:space="preserve">Roma, 10 Settembre 2021 </w:t>
      </w:r>
      <w:r>
        <w:rPr>
          <w:rStyle w:val="Nessuno"/>
          <w:rFonts w:ascii="Calibri" w:hAnsi="Calibri"/>
        </w:rPr>
        <w:t xml:space="preserve">– Va a Bologna la medaglia d’oro della facilità di accesso, con auto, treno o aereo, tra le destinazioni turistiche italiane, precedendo Milano e le Terme e Colli Euganei. Molte delle bellezze della Sardegna, tipo Alghero o la Gallura, la Sicilia occidentale e il Gargano, con la sua perla Vieste, hanno invece ampi margini di miglioramento della propria accessibilità. </w:t>
      </w:r>
      <w:r w:rsidR="002667D5">
        <w:rPr>
          <w:rStyle w:val="Nessuno"/>
          <w:rFonts w:ascii="Calibri" w:hAnsi="Calibri"/>
        </w:rPr>
        <w:t>È</w:t>
      </w:r>
      <w:r>
        <w:rPr>
          <w:rStyle w:val="Nessuno"/>
          <w:rFonts w:ascii="Calibri" w:hAnsi="Calibri"/>
        </w:rPr>
        <w:t xml:space="preserve"> quanto mostra la ricerca realizzata da </w:t>
      </w:r>
      <w:r>
        <w:rPr>
          <w:rStyle w:val="Nessuno"/>
          <w:rFonts w:ascii="Calibri" w:hAnsi="Calibri"/>
          <w:b/>
          <w:bCs/>
        </w:rPr>
        <w:t>Uniontrasporti</w:t>
      </w:r>
      <w:r>
        <w:rPr>
          <w:rStyle w:val="Nessuno"/>
          <w:rFonts w:ascii="Calibri" w:hAnsi="Calibri"/>
        </w:rPr>
        <w:t xml:space="preserve"> per </w:t>
      </w:r>
      <w:r>
        <w:rPr>
          <w:rStyle w:val="Nessuno"/>
          <w:rFonts w:ascii="Calibri" w:hAnsi="Calibri"/>
          <w:b/>
          <w:bCs/>
        </w:rPr>
        <w:t>Unioncamere</w:t>
      </w:r>
      <w:r>
        <w:rPr>
          <w:rStyle w:val="Nessuno"/>
          <w:rFonts w:ascii="Calibri" w:hAnsi="Calibri"/>
        </w:rPr>
        <w:t xml:space="preserve"> su 63 destinazioni turistiche italiane. </w:t>
      </w:r>
    </w:p>
    <w:p w14:paraId="5FDC15D4" w14:textId="77777777" w:rsidR="005206D4" w:rsidRDefault="005206D4">
      <w:pPr>
        <w:pStyle w:val="Pidipagina"/>
        <w:tabs>
          <w:tab w:val="clear" w:pos="9638"/>
          <w:tab w:val="right" w:pos="8762"/>
        </w:tabs>
        <w:rPr>
          <w:rStyle w:val="Nessuno"/>
          <w:rFonts w:ascii="Calibri" w:eastAsia="Calibri" w:hAnsi="Calibri" w:cs="Calibri"/>
        </w:rPr>
      </w:pPr>
    </w:p>
    <w:p w14:paraId="193E4614" w14:textId="4A04C27E" w:rsidR="005206D4" w:rsidRDefault="00742506">
      <w:pPr>
        <w:pStyle w:val="Stile1"/>
        <w:spacing w:after="0"/>
        <w:rPr>
          <w:rStyle w:val="Nessuno"/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t>Andando a considerare le performance delle destinazioni con le diverse modalità di trasporto (stradale, ferroviario ed aere</w:t>
      </w:r>
      <w:r w:rsidR="00396B3C">
        <w:rPr>
          <w:rStyle w:val="Nessuno"/>
          <w:rFonts w:ascii="Calibri" w:hAnsi="Calibri"/>
          <w:sz w:val="24"/>
          <w:szCs w:val="24"/>
        </w:rPr>
        <w:t>a</w:t>
      </w:r>
      <w:r>
        <w:rPr>
          <w:rStyle w:val="Nessuno"/>
          <w:rFonts w:ascii="Calibri" w:hAnsi="Calibri"/>
          <w:sz w:val="24"/>
          <w:szCs w:val="24"/>
        </w:rPr>
        <w:t xml:space="preserve">) l’analisi ha elaborato un indicatore di accessibilità multimodale, che restituisce la capacità complessiva di una determinata località turistica di essere raggiunta in maniera agevole. </w:t>
      </w:r>
    </w:p>
    <w:p w14:paraId="05131B80" w14:textId="77777777" w:rsidR="005206D4" w:rsidRDefault="00742506">
      <w:pPr>
        <w:pStyle w:val="Stile1"/>
        <w:spacing w:after="0"/>
        <w:rPr>
          <w:rStyle w:val="Nessuno"/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t xml:space="preserve">Secondo il modello costruito, Bologna vanta un livello di accessibilità superiore alla media nazionale del 32%. Al secondo posto si colloca la città di Milano, con accessibilità complessiva superiore alla media del 29%, mentre al terzo posto si trovano le Terme e Colli Euganei in Veneto. Nella top </w:t>
      </w:r>
      <w:proofErr w:type="spellStart"/>
      <w:r>
        <w:rPr>
          <w:rStyle w:val="Nessuno"/>
          <w:rFonts w:ascii="Calibri" w:hAnsi="Calibri"/>
          <w:sz w:val="24"/>
          <w:szCs w:val="24"/>
        </w:rPr>
        <w:t>ten</w:t>
      </w:r>
      <w:proofErr w:type="spellEnd"/>
      <w:r>
        <w:rPr>
          <w:rStyle w:val="Nessuno"/>
          <w:rFonts w:ascii="Calibri" w:hAnsi="Calibri"/>
          <w:sz w:val="24"/>
          <w:szCs w:val="24"/>
        </w:rPr>
        <w:t xml:space="preserve"> figurano 8 città d’arte (Bologna, Milano, Roma, Parma, Firenze, Pordenone, Napoli e Salerno) ma solo 2 destinazioni puramente turistiche come i Colli Euganei e il Litorale Veneto. Nonostante risultino facilmente accessibili con la modalità aerea, le destinazioni più remote come quelle sarde, siciliane e calabresi si posizionano comunque agli ultimi posti della classifica finale, così come il Gargano. Un livello critico di accessibilità però non riguarda solo le Isole maggiori e alcune aree del Mezzogiorno: molte aree montane sono raggiungibili solo con il mezzo privato come accade per le aree turistiche valdostane che si posizionano al 44° posto (Monte Cervino) e al 58° (Gran Paradiso). </w:t>
      </w:r>
    </w:p>
    <w:p w14:paraId="4912B3BF" w14:textId="77777777" w:rsidR="005206D4" w:rsidRDefault="005206D4">
      <w:pPr>
        <w:pStyle w:val="Stile1"/>
        <w:spacing w:after="0"/>
        <w:rPr>
          <w:rStyle w:val="Nessuno"/>
          <w:rFonts w:ascii="Calibri" w:eastAsia="Calibri" w:hAnsi="Calibri" w:cs="Calibri"/>
          <w:sz w:val="24"/>
          <w:szCs w:val="24"/>
        </w:rPr>
      </w:pPr>
    </w:p>
    <w:p w14:paraId="6D8693B4" w14:textId="77777777" w:rsidR="005206D4" w:rsidRDefault="00742506">
      <w:pPr>
        <w:pStyle w:val="Stile1"/>
        <w:spacing w:after="0"/>
        <w:rPr>
          <w:rStyle w:val="Nessuno"/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t xml:space="preserve">Se l’auto, come rileva l’Istat, è il mezzo di trasporto maggiormente utilizzato dai turisti italiani (59%) e stranieri (62%), tra le destinazioni più facilmente raggiungibili con questo mezzo di trasporto primeggia Bologna, seguita da Milano e da Parma. In generale, l’analisi mostra che le destinazioni del Centro-Nord risultano più centrali rispetto ai luoghi di origine presi in considerazione, mentre sono evidenti i limiti delle località insulari, delle aree remote e di confine e delle aree montane. </w:t>
      </w:r>
    </w:p>
    <w:p w14:paraId="5EDD611E" w14:textId="77777777" w:rsidR="005206D4" w:rsidRDefault="005206D4">
      <w:pPr>
        <w:pStyle w:val="Stile1"/>
        <w:spacing w:after="0"/>
        <w:rPr>
          <w:rStyle w:val="Nessuno"/>
          <w:rFonts w:ascii="Calibri" w:eastAsia="Calibri" w:hAnsi="Calibri" w:cs="Calibri"/>
          <w:sz w:val="24"/>
          <w:szCs w:val="24"/>
        </w:rPr>
      </w:pPr>
    </w:p>
    <w:p w14:paraId="6DE39822" w14:textId="07FF5542" w:rsidR="005206D4" w:rsidRDefault="00742506">
      <w:pPr>
        <w:pStyle w:val="Stile1"/>
        <w:spacing w:after="0"/>
        <w:rPr>
          <w:rStyle w:val="Nessuno"/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lastRenderedPageBreak/>
        <w:t xml:space="preserve">In media il 30% dei turisti, tra italiani e stranieri, utilizza l’aereo come mezzo per viaggiare. Rispetto ai movimenti turistici internazionali, il trasporto aereo rappresenta il vettore più importante. In questo caso, la meta più accessibile è Milano, seguita da Roma. Tra le 63 destinazioni analizzate, 9 non dispongono di infrastrutture per i servizi aerei in un’area distante </w:t>
      </w:r>
      <w:r w:rsidR="00396B3C">
        <w:rPr>
          <w:rStyle w:val="Nessuno"/>
          <w:rFonts w:ascii="Calibri" w:hAnsi="Calibri"/>
          <w:sz w:val="24"/>
          <w:szCs w:val="24"/>
        </w:rPr>
        <w:t>fino a</w:t>
      </w:r>
      <w:r>
        <w:rPr>
          <w:rStyle w:val="Nessuno"/>
          <w:rFonts w:ascii="Calibri" w:hAnsi="Calibri"/>
          <w:sz w:val="24"/>
          <w:szCs w:val="24"/>
        </w:rPr>
        <w:t xml:space="preserve"> un’ora e mezza (Lagonegrese-Pollino in Basilicata; Alpe di Siusi e Dolomiti Val Gardena, Merano e Brunico nella provincia di Bolzano; Alta Valtellina -Livigno- in Lombardia; Gargano e Daunia in Puglia; la Val di Fassa nella provincia di Trento; il Gran Paradiso in Valle d’Aosta e le Dolomiti -Cortina d’Ampezzo- in Veneto). Alcune destinazioni altrimenti non facili da raggiungere, come quelle sarde e calabresi con la modalità aerea riescono a recuperare diverse posizioni nel ranking dell’accessibilità, arrivando a metà classifica e anche più su (Cagliari è quindicesima). Così come Catania e Siracusa, che, grazie alla presenza dell’aeroporto, si posizionano tra le prime dieci a livello nazionale. </w:t>
      </w:r>
    </w:p>
    <w:p w14:paraId="4F504131" w14:textId="77777777" w:rsidR="005206D4" w:rsidRDefault="005206D4">
      <w:pPr>
        <w:pStyle w:val="Stile1"/>
        <w:spacing w:after="0"/>
        <w:rPr>
          <w:rStyle w:val="Nessuno"/>
          <w:rFonts w:ascii="Calibri" w:eastAsia="Calibri" w:hAnsi="Calibri" w:cs="Calibri"/>
          <w:sz w:val="24"/>
          <w:szCs w:val="24"/>
        </w:rPr>
      </w:pPr>
    </w:p>
    <w:p w14:paraId="54E1E3EB" w14:textId="435B5792" w:rsidR="005206D4" w:rsidRDefault="00742506">
      <w:pPr>
        <w:pStyle w:val="Stile1"/>
        <w:spacing w:after="0"/>
        <w:rPr>
          <w:rStyle w:val="Nessuno"/>
          <w:rFonts w:ascii="Calibri" w:hAnsi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t xml:space="preserve">Poco utilizzato, infine, il treno negli spostamenti turistici, che incide sul 10% dei trasporti totali. Anche in questo caso, comunque, le mete più facilmente accessibili risultano Bologna, Milano e Roma. Intorno alla media, però, figurano due destinazioni toscane (Viareggio e Chianciano Terme) e poco sotto Jesolo. </w:t>
      </w:r>
    </w:p>
    <w:p w14:paraId="223B5009" w14:textId="587A347F" w:rsidR="00396B3C" w:rsidRDefault="00396B3C">
      <w:pPr>
        <w:pStyle w:val="Stile1"/>
        <w:spacing w:after="0"/>
        <w:rPr>
          <w:rStyle w:val="Nessuno"/>
          <w:rFonts w:ascii="Calibri" w:hAnsi="Calibri"/>
          <w:sz w:val="24"/>
          <w:szCs w:val="24"/>
        </w:rPr>
      </w:pPr>
    </w:p>
    <w:p w14:paraId="2FA0412E" w14:textId="154A3E9C" w:rsidR="00396B3C" w:rsidRPr="00396B3C" w:rsidRDefault="00396B3C" w:rsidP="00396B3C">
      <w:pPr>
        <w:pStyle w:val="Stile1"/>
        <w:spacing w:after="0"/>
        <w:rPr>
          <w:rStyle w:val="Nessuno"/>
          <w:rFonts w:ascii="Calibri" w:hAnsi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</w:rPr>
        <w:t>“</w:t>
      </w:r>
      <w:r w:rsidRPr="00396B3C">
        <w:rPr>
          <w:rStyle w:val="Nessuno"/>
          <w:rFonts w:ascii="Calibri" w:hAnsi="Calibri"/>
          <w:i/>
          <w:iCs/>
          <w:sz w:val="24"/>
          <w:szCs w:val="24"/>
        </w:rPr>
        <w:t>La pandemia Covid ha modificato profondamente le abitudini dei turisti e non solo, dalla scelta delle destinazioni meno affollate alla preferenza per residence o case vacanze. Lo stesso è successo per la scelta del mezzo di trasporto, con una netta preferenza per l’auto piuttosto che soluzioni più comode e anche veloci come l’aereo e il treno. In tale contesto, occorre pensare ad una rete dei trasporti meglio correlata ai flussi turistici che sappia offrire una maggiore intermodalità, intesa come pluralità di modalità interconnesse e coerenti tra loro. I risultati dello studio evidenziano situazioni emblematiche come quelle relative a Lombardia e Veneto, con Milano e Colli Euganei nelle prime posizioni e l’Alta Valtellina in 55° posizione, che sconta un’accessibilità ridotta analoga a quella calcolata per le Dolomiti Bellunesi (48° posto). Stiamo parlando di due “destinazioni” che tra qualche anno – nel 2026 – saranno raggiunte da migliaia di turisti, atleti, giornalisti in occasione delle Olimpiadi di Milano-Cortina. L’immagine di un’intera nazione e il successo di un’iniziativa di livello mondiale può dipendere anche dalla facilità con cui ci si sposta da una località e l’altra</w:t>
      </w:r>
      <w:r w:rsidRPr="00396B3C">
        <w:rPr>
          <w:rStyle w:val="Nessuno"/>
          <w:rFonts w:ascii="Calibri" w:hAnsi="Calibri"/>
          <w:sz w:val="24"/>
          <w:szCs w:val="24"/>
        </w:rPr>
        <w:t>”. Ha dichiarato Fontanili Antonello, il direttore di Uniontrasporti.</w:t>
      </w:r>
    </w:p>
    <w:p w14:paraId="31F1539C" w14:textId="77777777" w:rsidR="00396B3C" w:rsidRDefault="00396B3C" w:rsidP="00396B3C">
      <w:pPr>
        <w:pStyle w:val="Didefault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jc w:val="both"/>
        <w:outlineLvl w:val="0"/>
      </w:pPr>
    </w:p>
    <w:p w14:paraId="67285896" w14:textId="77777777" w:rsidR="005206D4" w:rsidRDefault="00742506">
      <w:pPr>
        <w:pStyle w:val="Stile1"/>
        <w:spacing w:after="0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>La metodologia della ricerca</w:t>
      </w:r>
    </w:p>
    <w:p w14:paraId="27C3CB41" w14:textId="77777777" w:rsidR="005206D4" w:rsidRDefault="00742506">
      <w:pPr>
        <w:pStyle w:val="Stile1"/>
        <w:spacing w:after="0"/>
      </w:pPr>
      <w:r>
        <w:rPr>
          <w:rStyle w:val="Nessuno"/>
          <w:rFonts w:ascii="Calibri" w:hAnsi="Calibri"/>
        </w:rPr>
        <w:t xml:space="preserve">La metodologia utilizzata in questa indagine si basa sul modello gravitazionale, molto diffuso e utilizzato dai ricercatori nazionali ed esteri, che per le sue caratteristiche di neutralità ben si presta ad essere plasmato alle varie esigenze. Secondo questo modello l’accessibilità della destinazione è direttamente proporzionale ad un indicatore che tiene conto della popolazione e del reddito della zona di origine e inversamente proporzionale al costo di viaggio (che comprende sia il costo monetario che il tempo). Il modello costruito è stato applicato a 63 destinazioni turistiche (3 per regione), individuate attraverso l’esame di Piani per lo sviluppo del turismo e dell'attrattività dei vari territori, Programmi di promozione turistica, Piani strategici del Turismo provinciali e Istat. Come origine degli spostamenti sono stati considerati 42 capoluoghi di provincia italiani, 15 capitali europee e 6 origini extra europee. La scelta delle origini nazionali è stata fatta in base al numero di abitanti, favorendo i capoluoghi più popolosi e con maggiori potenzialità in termini di turismo. </w:t>
      </w:r>
    </w:p>
    <w:sectPr w:rsidR="005206D4">
      <w:headerReference w:type="default" r:id="rId8"/>
      <w:footerReference w:type="default" r:id="rId9"/>
      <w:pgSz w:w="11900" w:h="16840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15E2" w14:textId="77777777" w:rsidR="00742506" w:rsidRDefault="00742506">
      <w:r>
        <w:separator/>
      </w:r>
    </w:p>
  </w:endnote>
  <w:endnote w:type="continuationSeparator" w:id="0">
    <w:p w14:paraId="4958E527" w14:textId="77777777" w:rsidR="00742506" w:rsidRDefault="0074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D652" w14:textId="77777777" w:rsidR="005206D4" w:rsidRDefault="00742506">
    <w:pPr>
      <w:pStyle w:val="Pidipagina"/>
      <w:tabs>
        <w:tab w:val="clear" w:pos="9638"/>
        <w:tab w:val="right" w:pos="8762"/>
      </w:tabs>
      <w:rPr>
        <w:rFonts w:ascii="Cambria" w:eastAsia="Cambria" w:hAnsi="Cambria" w:cs="Cambria"/>
        <w:color w:val="071D49"/>
        <w:sz w:val="20"/>
        <w:szCs w:val="20"/>
        <w:u w:color="071D49"/>
      </w:rPr>
    </w:pPr>
    <w:r>
      <w:rPr>
        <w:rFonts w:ascii="Cambria" w:hAnsi="Cambria"/>
        <w:color w:val="071D49"/>
        <w:sz w:val="20"/>
        <w:szCs w:val="20"/>
        <w:u w:color="071D49"/>
      </w:rPr>
      <w:t>Per ulteriori informazioni:</w:t>
    </w:r>
  </w:p>
  <w:p w14:paraId="72A9D4AA" w14:textId="77777777" w:rsidR="005206D4" w:rsidRDefault="00742506">
    <w:pPr>
      <w:pStyle w:val="Pidipagina"/>
      <w:tabs>
        <w:tab w:val="clear" w:pos="9638"/>
        <w:tab w:val="right" w:pos="8762"/>
      </w:tabs>
      <w:rPr>
        <w:rFonts w:ascii="Arial" w:eastAsia="Arial" w:hAnsi="Arial" w:cs="Arial"/>
        <w:color w:val="071D49"/>
        <w:sz w:val="20"/>
        <w:szCs w:val="20"/>
        <w:u w:color="071D49"/>
      </w:rPr>
    </w:pPr>
    <w:r>
      <w:rPr>
        <w:rFonts w:ascii="Arial" w:hAnsi="Arial"/>
        <w:color w:val="071D49"/>
        <w:sz w:val="20"/>
        <w:szCs w:val="20"/>
        <w:u w:color="071D49"/>
      </w:rPr>
      <w:t>Ufficio stampa Unioncamere</w:t>
    </w:r>
  </w:p>
  <w:p w14:paraId="78506588" w14:textId="77777777" w:rsidR="005206D4" w:rsidRDefault="00742506">
    <w:pPr>
      <w:pStyle w:val="Pidipagina"/>
      <w:tabs>
        <w:tab w:val="clear" w:pos="9638"/>
        <w:tab w:val="right" w:pos="8762"/>
      </w:tabs>
      <w:rPr>
        <w:rFonts w:ascii="Cambria" w:eastAsia="Cambria" w:hAnsi="Cambria" w:cs="Cambria"/>
        <w:color w:val="071D49"/>
        <w:sz w:val="20"/>
        <w:szCs w:val="20"/>
        <w:u w:color="071D49"/>
      </w:rPr>
    </w:pPr>
    <w:r>
      <w:rPr>
        <w:rFonts w:ascii="Cambria" w:hAnsi="Cambria"/>
        <w:color w:val="071D49"/>
        <w:sz w:val="20"/>
        <w:szCs w:val="20"/>
        <w:u w:color="071D49"/>
      </w:rPr>
      <w:t>06.4704.264-350/348.9025607-331.6098963</w:t>
    </w:r>
  </w:p>
  <w:p w14:paraId="3F540246" w14:textId="77777777" w:rsidR="005206D4" w:rsidRDefault="00742506">
    <w:pPr>
      <w:pStyle w:val="Pidipagina"/>
      <w:tabs>
        <w:tab w:val="clear" w:pos="9638"/>
        <w:tab w:val="right" w:pos="8762"/>
      </w:tabs>
      <w:rPr>
        <w:rStyle w:val="Nessuno"/>
        <w:rFonts w:ascii="Cambria" w:eastAsia="Cambria" w:hAnsi="Cambria" w:cs="Cambria"/>
        <w:color w:val="071D49"/>
        <w:sz w:val="20"/>
        <w:szCs w:val="20"/>
        <w:u w:color="071D49"/>
      </w:rPr>
    </w:pPr>
    <w:r>
      <w:rPr>
        <w:rFonts w:ascii="Cambria" w:hAnsi="Cambria"/>
        <w:color w:val="071D49"/>
        <w:sz w:val="20"/>
        <w:szCs w:val="20"/>
        <w:u w:color="071D49"/>
      </w:rPr>
      <w:t xml:space="preserve">ufficio.stampa@unioncamere.it - </w:t>
    </w:r>
    <w:hyperlink r:id="rId1" w:history="1">
      <w:r>
        <w:rPr>
          <w:rStyle w:val="Hyperlink0"/>
        </w:rPr>
        <w:t>www.unioncamere.gov.it</w:t>
      </w:r>
    </w:hyperlink>
    <w:r>
      <w:rPr>
        <w:rStyle w:val="Nessuno"/>
        <w:rFonts w:ascii="Cambria" w:hAnsi="Cambria"/>
        <w:color w:val="071D49"/>
        <w:sz w:val="20"/>
        <w:szCs w:val="20"/>
        <w:u w:color="071D49"/>
      </w:rPr>
      <w:t xml:space="preserve"> - twitter.com/</w:t>
    </w:r>
    <w:proofErr w:type="spellStart"/>
    <w:r>
      <w:rPr>
        <w:rStyle w:val="Nessuno"/>
        <w:rFonts w:ascii="Cambria" w:hAnsi="Cambria"/>
        <w:color w:val="071D49"/>
        <w:sz w:val="20"/>
        <w:szCs w:val="20"/>
        <w:u w:color="071D49"/>
      </w:rPr>
      <w:t>unioncamere</w:t>
    </w:r>
    <w:proofErr w:type="spellEnd"/>
  </w:p>
  <w:p w14:paraId="14E8189D" w14:textId="77777777" w:rsidR="005206D4" w:rsidRDefault="005206D4">
    <w:pPr>
      <w:pStyle w:val="Pidipagina"/>
      <w:tabs>
        <w:tab w:val="clear" w:pos="9638"/>
        <w:tab w:val="right" w:pos="8762"/>
      </w:tabs>
      <w:rPr>
        <w:rStyle w:val="Nessuno"/>
        <w:rFonts w:ascii="Cambria" w:eastAsia="Cambria" w:hAnsi="Cambria" w:cs="Cambria"/>
        <w:color w:val="071D49"/>
        <w:sz w:val="20"/>
        <w:szCs w:val="20"/>
        <w:u w:color="071D49"/>
      </w:rPr>
    </w:pPr>
  </w:p>
  <w:p w14:paraId="27050911" w14:textId="77777777" w:rsidR="005206D4" w:rsidRDefault="00742506">
    <w:pPr>
      <w:pStyle w:val="Pidipagina"/>
      <w:tabs>
        <w:tab w:val="clear" w:pos="9638"/>
        <w:tab w:val="right" w:pos="8762"/>
      </w:tabs>
      <w:rPr>
        <w:rStyle w:val="Nessuno"/>
        <w:rFonts w:ascii="Calibri" w:eastAsia="Calibri" w:hAnsi="Calibri" w:cs="Calibri"/>
        <w:b/>
        <w:bCs/>
        <w:color w:val="071D49"/>
        <w:sz w:val="20"/>
        <w:szCs w:val="20"/>
        <w:u w:color="071D49"/>
      </w:rPr>
    </w:pPr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 xml:space="preserve">Ufficio stampa </w:t>
    </w:r>
    <w:proofErr w:type="spellStart"/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>Uniontrasporti</w:t>
    </w:r>
    <w:proofErr w:type="spellEnd"/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 xml:space="preserve">: Tramite </w:t>
    </w:r>
    <w:proofErr w:type="spellStart"/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>srl</w:t>
    </w:r>
    <w:proofErr w:type="spellEnd"/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 xml:space="preserve"> </w:t>
    </w:r>
  </w:p>
  <w:p w14:paraId="07399657" w14:textId="77777777" w:rsidR="005206D4" w:rsidRDefault="00742506">
    <w:pPr>
      <w:pStyle w:val="Pidipagina"/>
      <w:tabs>
        <w:tab w:val="clear" w:pos="9638"/>
        <w:tab w:val="right" w:pos="8762"/>
      </w:tabs>
      <w:rPr>
        <w:rStyle w:val="Nessuno"/>
        <w:rFonts w:ascii="Cambria" w:eastAsia="Cambria" w:hAnsi="Cambria" w:cs="Cambria"/>
        <w:color w:val="071D49"/>
        <w:sz w:val="20"/>
        <w:szCs w:val="20"/>
        <w:u w:color="071D49"/>
      </w:rPr>
    </w:pPr>
    <w:r>
      <w:rPr>
        <w:rStyle w:val="Nessuno"/>
        <w:rFonts w:ascii="Calibri" w:hAnsi="Calibri"/>
        <w:color w:val="071D49"/>
        <w:sz w:val="20"/>
        <w:szCs w:val="20"/>
        <w:u w:color="071D49"/>
      </w:rPr>
      <w:t xml:space="preserve">tel. + 39 0362 </w:t>
    </w:r>
    <w:proofErr w:type="gramStart"/>
    <w:r>
      <w:rPr>
        <w:rStyle w:val="Nessuno"/>
        <w:rFonts w:ascii="Calibri" w:hAnsi="Calibri"/>
        <w:color w:val="071D49"/>
        <w:sz w:val="20"/>
        <w:szCs w:val="20"/>
        <w:u w:color="071D49"/>
      </w:rPr>
      <w:t>907354  -</w:t>
    </w:r>
    <w:proofErr w:type="gramEnd"/>
    <w:r>
      <w:rPr>
        <w:rStyle w:val="Nessuno"/>
        <w:rFonts w:ascii="Calibri" w:hAnsi="Calibri"/>
        <w:color w:val="071D49"/>
        <w:sz w:val="20"/>
        <w:szCs w:val="20"/>
        <w:u w:color="071D49"/>
      </w:rPr>
      <w:t xml:space="preserve"> s.marchetti@tramite.it  - s.sala@tramite.it</w:t>
    </w:r>
  </w:p>
  <w:p w14:paraId="47492DD2" w14:textId="77777777" w:rsidR="005206D4" w:rsidRDefault="00742506">
    <w:pPr>
      <w:pStyle w:val="Pidipagina"/>
      <w:tabs>
        <w:tab w:val="clear" w:pos="9638"/>
        <w:tab w:val="right" w:pos="8762"/>
      </w:tabs>
    </w:pPr>
    <w:r>
      <w:rPr>
        <w:rStyle w:val="Nessuno"/>
        <w:rFonts w:ascii="Calibri" w:hAnsi="Calibri"/>
        <w:color w:val="071D49"/>
        <w:sz w:val="20"/>
        <w:szCs w:val="20"/>
        <w:u w:color="071D49"/>
      </w:rPr>
      <w:t>https://www.uniontrasporti.it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C90E" w14:textId="77777777" w:rsidR="00742506" w:rsidRDefault="00742506">
      <w:r>
        <w:separator/>
      </w:r>
    </w:p>
  </w:footnote>
  <w:footnote w:type="continuationSeparator" w:id="0">
    <w:p w14:paraId="3A33FD00" w14:textId="77777777" w:rsidR="00742506" w:rsidRDefault="0074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DC91" w14:textId="77777777" w:rsidR="005206D4" w:rsidRDefault="005206D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D4"/>
    <w:rsid w:val="002667D5"/>
    <w:rsid w:val="00396B3C"/>
    <w:rsid w:val="005206D4"/>
    <w:rsid w:val="00742506"/>
    <w:rsid w:val="00F1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1588"/>
  <w15:docId w15:val="{3D9E0795-5372-4424-B9D3-6D796060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" w:eastAsia="Cambria" w:hAnsi="Cambria" w:cs="Cambria"/>
      <w:outline w:val="0"/>
      <w:color w:val="071D49"/>
      <w:sz w:val="20"/>
      <w:szCs w:val="20"/>
      <w:u w:val="single" w:color="071D49"/>
    </w:rPr>
  </w:style>
  <w:style w:type="paragraph" w:customStyle="1" w:styleId="Stile1">
    <w:name w:val="Stile1"/>
    <w:pPr>
      <w:spacing w:after="240"/>
      <w:jc w:val="both"/>
    </w:pPr>
    <w:rPr>
      <w:rFonts w:ascii="Courier New" w:hAnsi="Courier New" w:cs="Arial Unicode MS"/>
      <w:color w:val="000000"/>
      <w:u w:color="000000"/>
    </w:rPr>
  </w:style>
  <w:style w:type="paragraph" w:customStyle="1" w:styleId="DidefaultA">
    <w:name w:val="Di default A"/>
    <w:rsid w:val="00396B3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Fontanili</dc:creator>
  <cp:lastModifiedBy>Alessandra Altina</cp:lastModifiedBy>
  <cp:revision>2</cp:revision>
  <dcterms:created xsi:type="dcterms:W3CDTF">2021-09-10T08:02:00Z</dcterms:created>
  <dcterms:modified xsi:type="dcterms:W3CDTF">2021-09-10T08:02:00Z</dcterms:modified>
</cp:coreProperties>
</file>