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838F5" w:rsidTr="002F2321">
        <w:trPr>
          <w:trHeight w:val="1562"/>
        </w:trPr>
        <w:tc>
          <w:tcPr>
            <w:tcW w:w="9498" w:type="dxa"/>
          </w:tcPr>
          <w:p w:rsidR="00C838F5" w:rsidRDefault="00C838F5" w:rsidP="00D63107">
            <w:pPr>
              <w:ind w:left="-142"/>
              <w:rPr>
                <w:rFonts w:ascii="Verdana" w:hAnsi="Verdana"/>
                <w:sz w:val="12"/>
              </w:rPr>
            </w:pPr>
          </w:p>
          <w:p w:rsidR="00C838F5" w:rsidRDefault="00B2166C" w:rsidP="00D63107">
            <w:pPr>
              <w:rPr>
                <w:rFonts w:ascii="Verdana" w:hAnsi="Verdana"/>
                <w:color w:val="808080"/>
                <w:spacing w:val="-20"/>
                <w:kern w:val="144"/>
                <w:sz w:val="20"/>
              </w:rPr>
            </w:pPr>
            <w:r>
              <w:rPr>
                <w:rFonts w:cs="TitilliumWeb-Regular"/>
                <w:noProof/>
                <w:szCs w:val="24"/>
              </w:rPr>
              <w:drawing>
                <wp:inline distT="0" distB="0" distL="0" distR="0" wp14:anchorId="017430D2" wp14:editId="618198FE">
                  <wp:extent cx="6134400" cy="547200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400" cy="54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8F5" w:rsidRPr="00010BD5" w:rsidRDefault="00C838F5" w:rsidP="00010BD5">
            <w:pPr>
              <w:ind w:left="-142"/>
              <w:jc w:val="right"/>
              <w:rPr>
                <w:rFonts w:ascii="Verdana" w:hAnsi="Verdana"/>
                <w:noProof/>
                <w:color w:val="808080"/>
                <w:spacing w:val="-20"/>
                <w:kern w:val="144"/>
                <w:sz w:val="18"/>
                <w:szCs w:val="18"/>
              </w:rPr>
            </w:pPr>
          </w:p>
          <w:p w:rsidR="00C838F5" w:rsidRPr="00010BD5" w:rsidRDefault="00C838F5" w:rsidP="00010BD5">
            <w:pPr>
              <w:ind w:left="-142"/>
              <w:jc w:val="right"/>
              <w:rPr>
                <w:rFonts w:ascii="Verdana" w:hAnsi="Verdana"/>
                <w:noProof/>
                <w:color w:val="808080"/>
                <w:spacing w:val="-20"/>
                <w:kern w:val="144"/>
                <w:sz w:val="18"/>
                <w:szCs w:val="18"/>
              </w:rPr>
            </w:pPr>
          </w:p>
          <w:p w:rsidR="00C838F5" w:rsidRDefault="00C838F5" w:rsidP="00010BD5">
            <w:pPr>
              <w:ind w:left="-142"/>
              <w:jc w:val="right"/>
              <w:rPr>
                <w:rFonts w:ascii="Verdana" w:hAnsi="Verdana"/>
                <w:noProof/>
                <w:color w:val="808080"/>
                <w:spacing w:val="-20"/>
                <w:kern w:val="144"/>
                <w:sz w:val="28"/>
                <w:szCs w:val="28"/>
              </w:rPr>
            </w:pPr>
          </w:p>
          <w:p w:rsidR="00C838F5" w:rsidRPr="006C3D08" w:rsidRDefault="00C838F5" w:rsidP="00010BD5">
            <w:pPr>
              <w:ind w:left="-142"/>
              <w:jc w:val="right"/>
              <w:rPr>
                <w:rFonts w:ascii="Verdana" w:hAnsi="Verdana"/>
                <w:noProof/>
                <w:color w:val="808080"/>
                <w:spacing w:val="-20"/>
                <w:kern w:val="144"/>
                <w:sz w:val="28"/>
                <w:szCs w:val="28"/>
              </w:rPr>
            </w:pPr>
          </w:p>
        </w:tc>
      </w:tr>
    </w:tbl>
    <w:p w:rsidR="00497C75" w:rsidRDefault="00C838F5" w:rsidP="00C838F5">
      <w:pPr>
        <w:pStyle w:val="Default"/>
        <w:spacing w:after="120" w:line="276" w:lineRule="auto"/>
        <w:jc w:val="center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  <w:r>
        <w:rPr>
          <w:rFonts w:ascii="Verdana" w:hAnsi="Verdana"/>
          <w:noProof/>
          <w:sz w:val="12"/>
        </w:rPr>
        <w:drawing>
          <wp:inline distT="0" distB="0" distL="0" distR="0" wp14:anchorId="43D724A9" wp14:editId="2FA64B46">
            <wp:extent cx="1362974" cy="681486"/>
            <wp:effectExtent l="0" t="0" r="8890" b="4445"/>
            <wp:docPr id="2" name="Immagine 2" descr="C:\Users\altina\Desktop\SISPRINT\marchio Sisprint\marchio Sisprint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61" cy="68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0D" w:rsidRDefault="004F510D" w:rsidP="00C838F5">
      <w:pPr>
        <w:pStyle w:val="Default"/>
        <w:spacing w:after="120"/>
        <w:jc w:val="center"/>
        <w:rPr>
          <w:rFonts w:asciiTheme="minorHAnsi" w:hAnsiTheme="minorHAnsi" w:cstheme="minorHAnsi"/>
          <w:i/>
          <w:color w:val="1F497D" w:themeColor="text2"/>
          <w:sz w:val="22"/>
          <w:szCs w:val="22"/>
        </w:rPr>
      </w:pPr>
    </w:p>
    <w:p w:rsidR="004F510D" w:rsidRDefault="004F510D" w:rsidP="00C838F5">
      <w:pPr>
        <w:pStyle w:val="Default"/>
        <w:spacing w:after="120"/>
        <w:jc w:val="center"/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</w:pPr>
      <w:r w:rsidRPr="001C12D3"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  <w:t xml:space="preserve">Sistema Integrato di </w:t>
      </w:r>
      <w:r w:rsidR="00CE00A6"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  <w:t>Supporto</w:t>
      </w:r>
      <w:r w:rsidRPr="001C12D3"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  <w:t xml:space="preserve"> alla Progettazione degli Interventi Territoriali</w:t>
      </w:r>
      <w:r w:rsidR="00497C75" w:rsidRPr="001C12D3"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  <w:br/>
      </w:r>
    </w:p>
    <w:p w:rsidR="001F31E3" w:rsidRPr="001C12D3" w:rsidRDefault="001F31E3" w:rsidP="001C12D3">
      <w:pPr>
        <w:pStyle w:val="Default"/>
        <w:spacing w:after="120"/>
        <w:rPr>
          <w:rFonts w:asciiTheme="minorHAnsi" w:hAnsiTheme="minorHAnsi" w:cstheme="minorHAnsi"/>
          <w:b/>
          <w:i/>
          <w:color w:val="404040" w:themeColor="text1" w:themeTint="BF"/>
          <w:sz w:val="22"/>
          <w:szCs w:val="22"/>
        </w:rPr>
      </w:pPr>
    </w:p>
    <w:p w:rsidR="00F61D47" w:rsidRPr="001F31E3" w:rsidRDefault="00F61D47" w:rsidP="00C838F5">
      <w:pPr>
        <w:pStyle w:val="Default"/>
        <w:spacing w:after="120"/>
        <w:jc w:val="center"/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1F31E3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Un progetto per valorizzare, integrare e analizzare dati a supporto delle politiche di sviluppo</w:t>
      </w:r>
    </w:p>
    <w:p w:rsidR="00F61D47" w:rsidRPr="001F31E3" w:rsidRDefault="00F61D47" w:rsidP="00C838F5">
      <w:pPr>
        <w:pStyle w:val="Default"/>
        <w:spacing w:after="120"/>
        <w:jc w:val="center"/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1F31E3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Un progetto per ascoltare le esigenze delle imprese e orientare le risposte delle PA</w:t>
      </w:r>
    </w:p>
    <w:p w:rsidR="00F61D47" w:rsidRPr="001F31E3" w:rsidRDefault="00F61D47" w:rsidP="00C838F5">
      <w:pPr>
        <w:pStyle w:val="Default"/>
        <w:spacing w:after="120"/>
        <w:jc w:val="center"/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1F31E3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Un progetto per supportare una progettualità qualificata</w:t>
      </w:r>
    </w:p>
    <w:p w:rsidR="001F31E3" w:rsidRDefault="001F31E3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</w:p>
    <w:p w:rsidR="00EB70E9" w:rsidRPr="00EB70E9" w:rsidRDefault="00F61D47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Il progetto </w:t>
      </w:r>
      <w:r w:rsidR="001833D4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SISPRINT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si propone di </w:t>
      </w:r>
      <w:r w:rsidR="00EB70E9" w:rsidRPr="001833D4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rafforzare la capacità delle Amministrazioni titolari della programmazione di dare risposta alle esigenze puntuali delle imprese e dei territori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, rendendo disponibile </w:t>
      </w:r>
      <w:r w:rsidR="00EB70E9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una </w:t>
      </w:r>
      <w:r w:rsidR="00EB70E9" w:rsidRPr="001833D4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strumentazione in grado di qualificare la progettualità per lo sviluppo e sostenere la competitività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. Questa strumentazione valorizz</w:t>
      </w:r>
      <w:r w:rsidR="001E17B7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a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il patrimonio di dati del Registro delle imprese delle Camere di commercio e di altre fonti camerali, integrandolo con fonti statistiche e le informazioni di cui dispone l’Agenzia per la Coesione territoriale.</w:t>
      </w:r>
    </w:p>
    <w:p w:rsidR="00EB70E9" w:rsidRPr="00EB70E9" w:rsidRDefault="001E17B7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Nell’ambito del progetto sono state sviluppate anche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</w:t>
      </w:r>
      <w:r w:rsidR="00EB70E9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modalità interattive di consultazione dei dati per ambiti di policy specifici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con l’obiettivo di guidare</w:t>
      </w:r>
      <w:r w:rsidR="00EB70E9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i decisori a utilizzare efficacemente i dati disponibili. Gli strumenti messi in campo saranno inoltre utili a rafforzare la capacità di identificazione, lettura e interpretazione dei dati da parte dei soggetti attuatori degli interventi.</w:t>
      </w:r>
    </w:p>
    <w:p w:rsidR="00EB70E9" w:rsidRPr="00EB70E9" w:rsidRDefault="00EB70E9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Contestualmente, l’attivazione nei territori di una </w:t>
      </w:r>
      <w:r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rete </w:t>
      </w:r>
      <w:r w:rsidR="00D64578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fisica e virtuale, attraverso </w:t>
      </w:r>
      <w:r w:rsidR="001E17B7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le</w:t>
      </w:r>
      <w:r w:rsidR="001E17B7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</w:t>
      </w:r>
      <w:r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Camere di commercio</w:t>
      </w: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, consent</w:t>
      </w:r>
      <w:r w:rsidR="001E17B7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e</w:t>
      </w: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di </w:t>
      </w:r>
      <w:r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monitorare costantemente le esigenze delle imprese </w:t>
      </w: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per rendere l’offerta di strumenti da parte delle PA sempre più coerente e capillarmente comunicata e diffusa. </w:t>
      </w:r>
    </w:p>
    <w:p w:rsidR="001322D7" w:rsidRPr="00EB70E9" w:rsidRDefault="001322D7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B70E9" w:rsidRPr="00EB70E9" w:rsidRDefault="00EB70E9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 xml:space="preserve">CONTESTO </w:t>
      </w:r>
      <w:r w:rsidR="001833D4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>e COERENZA CON IL #PONGOV</w:t>
      </w:r>
    </w:p>
    <w:p w:rsidR="001833D4" w:rsidRDefault="00EB70E9" w:rsidP="001833D4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L’iniziativa si inserisce </w:t>
      </w:r>
      <w:r w:rsidRPr="001833D4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nel più ampio contesto delle misure di cambiamento e riforma che interessano le Pubbliche Amministrazioni per contribuire alla crescita e allo sviluppo del Paese</w:t>
      </w:r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. Misure riferite alle diverse dimensioni della capacità istituzionale e che impattano, tra l’altro, sulle modalità organizzative e di offerta di servizi, sui processi di semplificazione e standardizzazione, sull’innovazione tecnologica, sulla cooperazione </w:t>
      </w:r>
      <w:proofErr w:type="spellStart"/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interistituzionale</w:t>
      </w:r>
      <w:proofErr w:type="spellEnd"/>
      <w:r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e sul coinvolgimento del partenariato. Misure che, nella programmazione della politica di coesione 2014-2020, ricevono un supporto all’implementazione attraverso il PON Governance e Capacità Istituzionale. </w:t>
      </w:r>
      <w:r w:rsidR="001833D4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In particolare questo progetto si pone</w:t>
      </w:r>
      <w:r w:rsidR="001833D4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 nell’ambito di un processo di </w:t>
      </w:r>
      <w:r w:rsidR="001833D4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rafforzamento della governance multilivello </w:t>
      </w:r>
      <w:r w:rsidR="001833D4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 xml:space="preserve">al fine di facilitare l’interazione e la messa a sistema del patrimonio informativo comune per favorire il pieno conseguimento degli obiettivi sottesi </w:t>
      </w:r>
      <w:r w:rsidR="001833D4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lastRenderedPageBreak/>
        <w:t xml:space="preserve">all’attuazione delle politiche di sviluppo, nonché quale utile </w:t>
      </w:r>
      <w:r w:rsidR="001833D4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strumento conoscitivo per l’attuazione dei programmi di investimento pubblico</w:t>
      </w:r>
      <w:r w:rsidR="00A353F0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,</w:t>
      </w:r>
      <w:r w:rsidR="001833D4" w:rsidRPr="00EB70E9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a partire dai Programmi Operativi</w:t>
      </w:r>
      <w:r w:rsidR="001833D4" w:rsidRPr="00EB70E9"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  <w:t>.</w:t>
      </w:r>
    </w:p>
    <w:p w:rsidR="001833D4" w:rsidRDefault="001833D4" w:rsidP="001833D4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</w:p>
    <w:p w:rsidR="00F61D47" w:rsidRPr="00EB70E9" w:rsidRDefault="00F61D47" w:rsidP="001833D4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color w:val="4A442A" w:themeColor="background2" w:themeShade="40"/>
          <w:sz w:val="22"/>
          <w:szCs w:val="22"/>
          <w:lang w:eastAsia="en-US"/>
        </w:rPr>
      </w:pPr>
    </w:p>
    <w:p w:rsidR="00FD08BE" w:rsidRPr="00EB70E9" w:rsidRDefault="000F7CCA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 xml:space="preserve">FONTE DI FINANZIAMENTO, </w:t>
      </w:r>
      <w:r w:rsidR="001322D7"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 xml:space="preserve">COSTO </w:t>
      </w: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>e DURATA</w:t>
      </w:r>
    </w:p>
    <w:p w:rsidR="000F7CCA" w:rsidRPr="00EB70E9" w:rsidRDefault="000F7CCA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PON Governance e Capacità Istituzionale 2014-2020 – </w:t>
      </w:r>
      <w:r w:rsidRPr="001833D4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Asse 3</w:t>
      </w:r>
      <w:r w:rsidRPr="00EB70E9">
        <w:rPr>
          <w:rFonts w:asciiTheme="minorHAnsi" w:hAnsiTheme="minorHAnsi" w:cstheme="minorHAnsi"/>
          <w:sz w:val="22"/>
          <w:szCs w:val="22"/>
        </w:rPr>
        <w:t xml:space="preserve"> “</w:t>
      </w:r>
      <w:r w:rsidRPr="001833D4">
        <w:rPr>
          <w:rFonts w:asciiTheme="minorHAnsi" w:hAnsiTheme="minorHAnsi" w:cstheme="minorHAnsi"/>
          <w:i/>
          <w:sz w:val="22"/>
          <w:szCs w:val="22"/>
        </w:rPr>
        <w:t>Rafforzamento della governance multilivello nei programmi di investimento pubblico</w:t>
      </w:r>
      <w:r w:rsidRPr="00EB70E9">
        <w:rPr>
          <w:rFonts w:asciiTheme="minorHAnsi" w:hAnsiTheme="minorHAnsi" w:cstheme="minorHAnsi"/>
          <w:sz w:val="22"/>
          <w:szCs w:val="22"/>
        </w:rPr>
        <w:t>”</w:t>
      </w:r>
    </w:p>
    <w:p w:rsidR="00D6239E" w:rsidRPr="00EB70E9" w:rsidRDefault="000F7CCA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Dotazione del progetto: </w:t>
      </w:r>
      <w:r w:rsidR="001322D7" w:rsidRPr="001833D4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4.803.305,46 euro</w:t>
      </w:r>
    </w:p>
    <w:p w:rsidR="001322D7" w:rsidRPr="00EB70E9" w:rsidRDefault="000F7CCA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Periodo: </w:t>
      </w:r>
      <w:r w:rsidR="00CE00A6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2017-20</w:t>
      </w:r>
      <w:bookmarkStart w:id="0" w:name="_GoBack"/>
      <w:bookmarkEnd w:id="0"/>
      <w:r w:rsidR="00F172E8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20</w:t>
      </w:r>
    </w:p>
    <w:p w:rsidR="00A81AFE" w:rsidRPr="00EB70E9" w:rsidRDefault="00A81AFE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2"/>
          <w:szCs w:val="22"/>
          <w:lang w:eastAsia="en-US"/>
        </w:rPr>
      </w:pPr>
    </w:p>
    <w:p w:rsidR="00FD08BE" w:rsidRPr="00EB70E9" w:rsidRDefault="00495E40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 xml:space="preserve">LA RETE DEI </w:t>
      </w:r>
      <w:r w:rsidR="001322D7"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>SOGGETTI COINVOLTI</w:t>
      </w:r>
    </w:p>
    <w:p w:rsidR="00495E40" w:rsidRPr="00EB70E9" w:rsidRDefault="00411446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Agenzia per la Coesione territoriale</w:t>
      </w:r>
      <w:r w:rsidR="00495E40" w:rsidRPr="00EB70E9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495E40" w:rsidRPr="00EB70E9">
        <w:rPr>
          <w:rFonts w:asciiTheme="minorHAnsi" w:hAnsiTheme="minorHAnsi" w:cstheme="minorHAnsi"/>
          <w:sz w:val="22"/>
          <w:szCs w:val="22"/>
        </w:rPr>
        <w:t>– Autorità di Gestione del PON Governance e Capacità Istituzionale 2014-2020</w:t>
      </w:r>
    </w:p>
    <w:p w:rsidR="00495E40" w:rsidRPr="00EB70E9" w:rsidRDefault="00411446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B70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Unioncamere</w:t>
      </w:r>
      <w:proofErr w:type="spellEnd"/>
      <w:r w:rsidR="00495E40" w:rsidRPr="00EB70E9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495E40" w:rsidRPr="00EB70E9">
        <w:rPr>
          <w:rFonts w:asciiTheme="minorHAnsi" w:hAnsiTheme="minorHAnsi" w:cstheme="minorHAnsi"/>
          <w:sz w:val="22"/>
          <w:szCs w:val="22"/>
        </w:rPr>
        <w:t xml:space="preserve">– beneficiario </w:t>
      </w:r>
    </w:p>
    <w:p w:rsidR="001322D7" w:rsidRPr="00EB70E9" w:rsidRDefault="00403B5E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>Per le attività previste dal progetto</w:t>
      </w:r>
      <w:r w:rsidR="00FD08BE" w:rsidRPr="00EB70E9">
        <w:rPr>
          <w:rFonts w:asciiTheme="minorHAnsi" w:hAnsiTheme="minorHAnsi" w:cstheme="minorHAnsi"/>
          <w:sz w:val="22"/>
          <w:szCs w:val="22"/>
        </w:rPr>
        <w:t>,</w:t>
      </w:r>
      <w:r w:rsidRPr="00EB70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Unioncamere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 si avvarrà delle sue </w:t>
      </w:r>
      <w:r w:rsidRPr="001833D4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società</w:t>
      </w:r>
      <w:r w:rsidR="001833D4" w:rsidRPr="001833D4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Pr="001833D4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 xml:space="preserve">in </w:t>
      </w:r>
      <w:proofErr w:type="spellStart"/>
      <w:r w:rsidRPr="001833D4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house</w:t>
      </w:r>
      <w:proofErr w:type="spellEnd"/>
      <w:r w:rsidRPr="001833D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EB70E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Sicamera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InfoCamere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Isnart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) e di </w:t>
      </w:r>
      <w:r w:rsidR="00373996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21</w:t>
      </w:r>
      <w:r w:rsidR="00411446" w:rsidRPr="00EB70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Camere di Commercio</w:t>
      </w:r>
      <w:r w:rsidR="00411446" w:rsidRPr="00EB70E9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411446" w:rsidRPr="00EB70E9">
        <w:rPr>
          <w:rFonts w:asciiTheme="minorHAnsi" w:hAnsiTheme="minorHAnsi" w:cstheme="minorHAnsi"/>
          <w:sz w:val="22"/>
          <w:szCs w:val="22"/>
        </w:rPr>
        <w:t>su tutto il territorio nazionale.</w:t>
      </w:r>
      <w:r w:rsidRPr="00EB70E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33D4" w:rsidRPr="002E2E3B" w:rsidRDefault="00403B5E" w:rsidP="001833D4">
      <w:pPr>
        <w:pStyle w:val="Default"/>
        <w:spacing w:after="120" w:line="276" w:lineRule="auto"/>
        <w:rPr>
          <w:rFonts w:asciiTheme="minorHAnsi" w:hAnsiTheme="minorHAnsi" w:cs="Calibri"/>
          <w:color w:val="4A442A" w:themeColor="background2" w:themeShade="40"/>
          <w:sz w:val="22"/>
          <w:szCs w:val="22"/>
        </w:rPr>
      </w:pPr>
      <w:proofErr w:type="spellStart"/>
      <w:r w:rsidRPr="00EB70E9">
        <w:rPr>
          <w:rFonts w:asciiTheme="minorHAnsi" w:hAnsiTheme="minorHAnsi" w:cstheme="minorHAnsi"/>
          <w:sz w:val="22"/>
          <w:szCs w:val="22"/>
        </w:rPr>
        <w:t>Sisprint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 prevede</w:t>
      </w:r>
      <w:r w:rsidR="002A65D1" w:rsidRPr="00EB70E9">
        <w:rPr>
          <w:rFonts w:asciiTheme="minorHAnsi" w:hAnsiTheme="minorHAnsi" w:cstheme="minorHAnsi"/>
          <w:sz w:val="22"/>
          <w:szCs w:val="22"/>
        </w:rPr>
        <w:t xml:space="preserve"> inoltre, insieme alle </w:t>
      </w:r>
      <w:r w:rsidR="004967C3" w:rsidRPr="00EB70E9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Amministrazioni locali</w:t>
      </w:r>
      <w:r w:rsidR="002A65D1" w:rsidRPr="00EB70E9">
        <w:rPr>
          <w:rFonts w:asciiTheme="minorHAnsi" w:hAnsiTheme="minorHAnsi" w:cstheme="minorHAnsi"/>
          <w:sz w:val="22"/>
          <w:szCs w:val="22"/>
        </w:rPr>
        <w:t>,</w:t>
      </w:r>
      <w:r w:rsidR="002A65D1" w:rsidRPr="00EB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33D4" w:rsidRPr="001833D4">
        <w:rPr>
          <w:rFonts w:asciiTheme="minorHAnsi" w:hAnsiTheme="minorHAnsi"/>
          <w:color w:val="auto"/>
          <w:sz w:val="22"/>
          <w:szCs w:val="22"/>
        </w:rPr>
        <w:t>il coinvolgimento di un ampio numero di soggetti costituito da</w:t>
      </w:r>
      <w:r w:rsidR="001833D4" w:rsidRPr="002E2E3B">
        <w:rPr>
          <w:rFonts w:asciiTheme="minorHAnsi" w:hAnsiTheme="minorHAnsi"/>
          <w:color w:val="4A442A" w:themeColor="background2" w:themeShade="40"/>
          <w:sz w:val="22"/>
          <w:szCs w:val="22"/>
        </w:rPr>
        <w:t xml:space="preserve"> </w:t>
      </w:r>
      <w:r w:rsidR="001833D4" w:rsidRPr="001833D4">
        <w:rPr>
          <w:rFonts w:asciiTheme="minorHAnsi" w:hAnsiTheme="minorHAnsi"/>
          <w:b/>
          <w:color w:val="1F497D" w:themeColor="text2"/>
          <w:sz w:val="22"/>
          <w:szCs w:val="22"/>
        </w:rPr>
        <w:t>organismi associativi, Università, strutture di ricerca, terzo settore</w:t>
      </w:r>
      <w:r w:rsidR="001833D4" w:rsidRPr="002E2E3B">
        <w:rPr>
          <w:rFonts w:asciiTheme="minorHAnsi" w:hAnsiTheme="minorHAnsi"/>
          <w:color w:val="4A442A" w:themeColor="background2" w:themeShade="40"/>
          <w:sz w:val="22"/>
          <w:szCs w:val="22"/>
        </w:rPr>
        <w:t xml:space="preserve">  </w:t>
      </w:r>
    </w:p>
    <w:p w:rsidR="00C7678E" w:rsidRPr="00EB70E9" w:rsidRDefault="00C7678E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22D7" w:rsidRPr="00EB70E9" w:rsidRDefault="001322D7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>LINEE DI AZIONE</w:t>
      </w:r>
    </w:p>
    <w:p w:rsidR="00C7678E" w:rsidRDefault="00681348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>Tre</w:t>
      </w:r>
      <w:r w:rsidR="001B0187" w:rsidRPr="00EB70E9">
        <w:rPr>
          <w:rFonts w:asciiTheme="minorHAnsi" w:hAnsiTheme="minorHAnsi" w:cstheme="minorHAnsi"/>
          <w:sz w:val="22"/>
          <w:szCs w:val="22"/>
        </w:rPr>
        <w:t xml:space="preserve"> le</w:t>
      </w:r>
      <w:r w:rsidR="00C7678E" w:rsidRPr="00EB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678E" w:rsidRPr="00EB70E9">
        <w:rPr>
          <w:rFonts w:asciiTheme="minorHAnsi" w:hAnsiTheme="minorHAnsi" w:cstheme="minorHAnsi"/>
          <w:sz w:val="22"/>
          <w:szCs w:val="22"/>
        </w:rPr>
        <w:t>linee di azione strettamente integrate:</w:t>
      </w:r>
      <w:r w:rsidR="00DA3EA3" w:rsidRPr="00EB70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3EA3" w:rsidRPr="001833D4">
        <w:rPr>
          <w:rFonts w:asciiTheme="minorHAnsi" w:hAnsiTheme="minorHAnsi" w:cstheme="minorHAnsi"/>
          <w:b/>
          <w:i/>
          <w:color w:val="1F497D" w:themeColor="text2"/>
          <w:sz w:val="22"/>
          <w:szCs w:val="22"/>
        </w:rPr>
        <w:t>ANALIZZARE, ASCOLTARE, PROPORRE</w:t>
      </w:r>
    </w:p>
    <w:p w:rsidR="00F61D47" w:rsidRPr="00EB70E9" w:rsidRDefault="00F61D47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777B" w:rsidRPr="00EB70E9" w:rsidRDefault="00C7678E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 xml:space="preserve">Fase 1 </w:t>
      </w:r>
      <w:r w:rsidR="00A36795"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>–</w:t>
      </w:r>
      <w:r w:rsidR="0067777B"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 xml:space="preserve"> </w:t>
      </w:r>
      <w:r w:rsidR="00DA3EA3"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>ANALIZZARE</w:t>
      </w:r>
    </w:p>
    <w:p w:rsidR="00717431" w:rsidRPr="00EB70E9" w:rsidRDefault="0067777B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Per </w:t>
      </w:r>
      <w:r w:rsidR="00884A44" w:rsidRPr="00EB70E9">
        <w:rPr>
          <w:rFonts w:asciiTheme="minorHAnsi" w:hAnsiTheme="minorHAnsi" w:cstheme="minorHAnsi"/>
          <w:sz w:val="22"/>
          <w:szCs w:val="22"/>
        </w:rPr>
        <w:t>una migliore comprensione dei gap di</w:t>
      </w:r>
      <w:r w:rsidR="00DA3EA3" w:rsidRPr="00EB70E9">
        <w:rPr>
          <w:rFonts w:asciiTheme="minorHAnsi" w:hAnsiTheme="minorHAnsi" w:cstheme="minorHAnsi"/>
          <w:sz w:val="22"/>
          <w:szCs w:val="22"/>
        </w:rPr>
        <w:t xml:space="preserve"> sviluppo di un territorio e per delineare risposte coerenti ai fabbisogni,</w:t>
      </w:r>
      <w:r w:rsidRPr="00EB70E9">
        <w:rPr>
          <w:rFonts w:asciiTheme="minorHAnsi" w:hAnsiTheme="minorHAnsi" w:cstheme="minorHAnsi"/>
          <w:sz w:val="22"/>
          <w:szCs w:val="22"/>
        </w:rPr>
        <w:t xml:space="preserve"> occorre disporre di una </w:t>
      </w:r>
      <w:r w:rsidRPr="00EB70E9">
        <w:rPr>
          <w:rFonts w:asciiTheme="minorHAnsi" w:hAnsiTheme="minorHAnsi" w:cstheme="minorHAnsi"/>
          <w:sz w:val="22"/>
          <w:szCs w:val="22"/>
          <w:u w:val="single"/>
        </w:rPr>
        <w:t>mappa dettagliata e costantemente aggiornata</w:t>
      </w:r>
      <w:r w:rsidRPr="00EB70E9">
        <w:rPr>
          <w:rFonts w:asciiTheme="minorHAnsi" w:hAnsiTheme="minorHAnsi" w:cstheme="minorHAnsi"/>
          <w:sz w:val="22"/>
          <w:szCs w:val="22"/>
        </w:rPr>
        <w:t xml:space="preserve"> dei punti di forza e di debolezza di una realtà territoriale. Attraverso </w:t>
      </w:r>
      <w:r w:rsidR="005D2D63" w:rsidRPr="00EB70E9">
        <w:rPr>
          <w:rFonts w:asciiTheme="minorHAnsi" w:hAnsiTheme="minorHAnsi" w:cstheme="minorHAnsi"/>
          <w:sz w:val="22"/>
          <w:szCs w:val="22"/>
        </w:rPr>
        <w:t>SISPRINT -</w:t>
      </w:r>
      <w:r w:rsidRPr="00EB70E9">
        <w:rPr>
          <w:rFonts w:asciiTheme="minorHAnsi" w:hAnsiTheme="minorHAnsi" w:cstheme="minorHAnsi"/>
          <w:sz w:val="22"/>
          <w:szCs w:val="22"/>
        </w:rPr>
        <w:t xml:space="preserve"> valorizzando </w:t>
      </w:r>
      <w:r w:rsidR="00AE278F" w:rsidRPr="00EB70E9">
        <w:rPr>
          <w:rFonts w:asciiTheme="minorHAnsi" w:hAnsiTheme="minorHAnsi" w:cstheme="minorHAnsi"/>
          <w:sz w:val="22"/>
          <w:szCs w:val="22"/>
        </w:rPr>
        <w:t xml:space="preserve">il patrimonio </w:t>
      </w:r>
      <w:r w:rsidR="00DA3EA3" w:rsidRPr="00EB70E9">
        <w:rPr>
          <w:rFonts w:asciiTheme="minorHAnsi" w:hAnsiTheme="minorHAnsi" w:cstheme="minorHAnsi"/>
          <w:sz w:val="22"/>
          <w:szCs w:val="22"/>
        </w:rPr>
        <w:t xml:space="preserve">esclusivo </w:t>
      </w:r>
      <w:r w:rsidR="00AE278F" w:rsidRPr="00EB70E9">
        <w:rPr>
          <w:rFonts w:asciiTheme="minorHAnsi" w:hAnsiTheme="minorHAnsi" w:cstheme="minorHAnsi"/>
          <w:sz w:val="22"/>
          <w:szCs w:val="22"/>
        </w:rPr>
        <w:t xml:space="preserve">di </w:t>
      </w:r>
      <w:r w:rsidR="00DA3EA3" w:rsidRPr="00EB70E9">
        <w:rPr>
          <w:rFonts w:asciiTheme="minorHAnsi" w:hAnsiTheme="minorHAnsi" w:cstheme="minorHAnsi"/>
          <w:sz w:val="22"/>
          <w:szCs w:val="22"/>
        </w:rPr>
        <w:t xml:space="preserve">informazioni e </w:t>
      </w:r>
      <w:r w:rsidR="00AE278F" w:rsidRPr="00EB70E9">
        <w:rPr>
          <w:rFonts w:asciiTheme="minorHAnsi" w:hAnsiTheme="minorHAnsi" w:cstheme="minorHAnsi"/>
          <w:sz w:val="22"/>
          <w:szCs w:val="22"/>
        </w:rPr>
        <w:t xml:space="preserve">dati economici provenienti dal Registro delle imprese delle Camere di commercio </w:t>
      </w:r>
      <w:r w:rsidRPr="00EB70E9">
        <w:rPr>
          <w:rFonts w:asciiTheme="minorHAnsi" w:hAnsiTheme="minorHAnsi" w:cstheme="minorHAnsi"/>
          <w:sz w:val="22"/>
          <w:szCs w:val="22"/>
        </w:rPr>
        <w:t>opportunatamente integrato</w:t>
      </w:r>
      <w:r w:rsidR="00AE278F" w:rsidRPr="00EB70E9">
        <w:rPr>
          <w:rFonts w:asciiTheme="minorHAnsi" w:hAnsiTheme="minorHAnsi" w:cstheme="minorHAnsi"/>
          <w:sz w:val="22"/>
          <w:szCs w:val="22"/>
        </w:rPr>
        <w:t xml:space="preserve"> con le informazioni di cui dispone l’Agenz</w:t>
      </w:r>
      <w:r w:rsidRPr="00EB70E9">
        <w:rPr>
          <w:rFonts w:asciiTheme="minorHAnsi" w:hAnsiTheme="minorHAnsi" w:cstheme="minorHAnsi"/>
          <w:sz w:val="22"/>
          <w:szCs w:val="22"/>
        </w:rPr>
        <w:t>ia per la Coesione Territoriale</w:t>
      </w:r>
      <w:r w:rsidR="00A81AFE" w:rsidRPr="00EB70E9">
        <w:rPr>
          <w:rFonts w:asciiTheme="minorHAnsi" w:hAnsiTheme="minorHAnsi" w:cstheme="minorHAnsi"/>
          <w:sz w:val="22"/>
          <w:szCs w:val="22"/>
        </w:rPr>
        <w:t xml:space="preserve"> -</w:t>
      </w:r>
      <w:r w:rsidRPr="00EB70E9">
        <w:rPr>
          <w:rFonts w:asciiTheme="minorHAnsi" w:hAnsiTheme="minorHAnsi" w:cstheme="minorHAnsi"/>
          <w:sz w:val="22"/>
          <w:szCs w:val="22"/>
        </w:rPr>
        <w:t xml:space="preserve"> </w:t>
      </w:r>
      <w:r w:rsidR="001E17B7">
        <w:rPr>
          <w:rFonts w:asciiTheme="minorHAnsi" w:hAnsiTheme="minorHAnsi" w:cstheme="minorHAnsi"/>
          <w:sz w:val="22"/>
          <w:szCs w:val="22"/>
        </w:rPr>
        <w:t>vengono</w:t>
      </w:r>
      <w:r w:rsidR="001E17B7" w:rsidRPr="00EB70E9">
        <w:rPr>
          <w:rFonts w:asciiTheme="minorHAnsi" w:hAnsiTheme="minorHAnsi" w:cstheme="minorHAnsi"/>
          <w:sz w:val="22"/>
          <w:szCs w:val="22"/>
        </w:rPr>
        <w:t xml:space="preserve"> </w:t>
      </w:r>
      <w:r w:rsidRPr="00EB70E9">
        <w:rPr>
          <w:rFonts w:asciiTheme="minorHAnsi" w:hAnsiTheme="minorHAnsi" w:cstheme="minorHAnsi"/>
          <w:sz w:val="22"/>
          <w:szCs w:val="22"/>
        </w:rPr>
        <w:t>resi disponibili alle amministrazioni locali strumenti conoscitivi innovativi per l’analisi della competitività delle imprese e</w:t>
      </w:r>
      <w:r w:rsidR="00717431" w:rsidRPr="00EB70E9">
        <w:rPr>
          <w:rFonts w:asciiTheme="minorHAnsi" w:hAnsiTheme="minorHAnsi" w:cstheme="minorHAnsi"/>
          <w:sz w:val="22"/>
          <w:szCs w:val="22"/>
        </w:rPr>
        <w:t xml:space="preserve"> dei territori: </w:t>
      </w:r>
    </w:p>
    <w:p w:rsidR="00717431" w:rsidRPr="00EB70E9" w:rsidRDefault="00717431" w:rsidP="00EB70E9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  <w:u w:val="single"/>
        </w:rPr>
        <w:t>report regionali</w:t>
      </w:r>
      <w:r w:rsidRPr="00EB70E9">
        <w:rPr>
          <w:rFonts w:asciiTheme="minorHAnsi" w:hAnsiTheme="minorHAnsi" w:cstheme="minorHAnsi"/>
          <w:sz w:val="22"/>
          <w:szCs w:val="22"/>
        </w:rPr>
        <w:t xml:space="preserve"> con approfondimenti provinciali e, se necessario,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subprovinciali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17431" w:rsidRPr="00EB70E9" w:rsidRDefault="00717431" w:rsidP="00EB70E9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B70E9">
        <w:rPr>
          <w:rFonts w:asciiTheme="minorHAnsi" w:hAnsiTheme="minorHAnsi" w:cstheme="minorHAnsi"/>
          <w:sz w:val="22"/>
          <w:szCs w:val="22"/>
          <w:u w:val="single"/>
        </w:rPr>
        <w:t>dataset</w:t>
      </w:r>
      <w:proofErr w:type="spellEnd"/>
      <w:r w:rsidRPr="00EB70E9">
        <w:rPr>
          <w:rFonts w:asciiTheme="minorHAnsi" w:hAnsiTheme="minorHAnsi" w:cstheme="minorHAnsi"/>
          <w:sz w:val="22"/>
          <w:szCs w:val="22"/>
          <w:u w:val="single"/>
        </w:rPr>
        <w:t xml:space="preserve"> su ambiti tematici di interesse</w:t>
      </w:r>
      <w:r w:rsidRPr="00EB70E9">
        <w:rPr>
          <w:rFonts w:asciiTheme="minorHAnsi" w:hAnsiTheme="minorHAnsi" w:cstheme="minorHAnsi"/>
          <w:sz w:val="22"/>
          <w:szCs w:val="22"/>
        </w:rPr>
        <w:t xml:space="preserve"> prioritario; </w:t>
      </w:r>
    </w:p>
    <w:p w:rsidR="00AE278F" w:rsidRPr="00EB70E9" w:rsidRDefault="00717431" w:rsidP="00EB70E9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  <w:u w:val="single"/>
        </w:rPr>
        <w:t>crusco</w:t>
      </w:r>
      <w:r w:rsidR="00C463A5" w:rsidRPr="00EB70E9">
        <w:rPr>
          <w:rFonts w:asciiTheme="minorHAnsi" w:hAnsiTheme="minorHAnsi" w:cstheme="minorHAnsi"/>
          <w:sz w:val="22"/>
          <w:szCs w:val="22"/>
          <w:u w:val="single"/>
        </w:rPr>
        <w:t>tto informativo</w:t>
      </w:r>
      <w:r w:rsidR="00C463A5" w:rsidRPr="00EB70E9">
        <w:rPr>
          <w:rFonts w:asciiTheme="minorHAnsi" w:hAnsiTheme="minorHAnsi" w:cstheme="minorHAnsi"/>
          <w:sz w:val="22"/>
          <w:szCs w:val="22"/>
        </w:rPr>
        <w:t xml:space="preserve">, </w:t>
      </w:r>
      <w:r w:rsidRPr="00EB70E9">
        <w:rPr>
          <w:rFonts w:asciiTheme="minorHAnsi" w:hAnsiTheme="minorHAnsi" w:cstheme="minorHAnsi"/>
          <w:sz w:val="22"/>
          <w:szCs w:val="22"/>
        </w:rPr>
        <w:t xml:space="preserve">una piattaforma </w:t>
      </w:r>
      <w:r w:rsidR="00A36795" w:rsidRPr="00EB70E9">
        <w:rPr>
          <w:rFonts w:asciiTheme="minorHAnsi" w:hAnsiTheme="minorHAnsi" w:cstheme="minorHAnsi"/>
          <w:sz w:val="22"/>
          <w:szCs w:val="22"/>
        </w:rPr>
        <w:t xml:space="preserve">Internet </w:t>
      </w:r>
      <w:r w:rsidRPr="00EB70E9">
        <w:rPr>
          <w:rFonts w:asciiTheme="minorHAnsi" w:hAnsiTheme="minorHAnsi" w:cstheme="minorHAnsi"/>
          <w:sz w:val="22"/>
          <w:szCs w:val="22"/>
        </w:rPr>
        <w:t>che permette di navigare tra i dati e di ottenere report personalizzabili</w:t>
      </w:r>
      <w:r w:rsidR="007C26DA" w:rsidRPr="00EB70E9">
        <w:rPr>
          <w:rFonts w:asciiTheme="minorHAnsi" w:hAnsiTheme="minorHAnsi" w:cstheme="minorHAnsi"/>
          <w:sz w:val="22"/>
          <w:szCs w:val="22"/>
        </w:rPr>
        <w:t xml:space="preserve"> attraverso i quali sia possibile consultare e monitorare i fenomeni economico-produttivi</w:t>
      </w:r>
      <w:r w:rsidR="00C463A5" w:rsidRPr="00EB70E9">
        <w:rPr>
          <w:rFonts w:asciiTheme="minorHAnsi" w:hAnsiTheme="minorHAnsi" w:cstheme="minorHAnsi"/>
          <w:sz w:val="22"/>
          <w:szCs w:val="22"/>
        </w:rPr>
        <w:t>.</w:t>
      </w:r>
    </w:p>
    <w:p w:rsidR="00C463A5" w:rsidRDefault="00DA3EA3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Tutti gli strumenti </w:t>
      </w:r>
      <w:r w:rsidR="001E17B7">
        <w:rPr>
          <w:rFonts w:asciiTheme="minorHAnsi" w:hAnsiTheme="minorHAnsi" w:cstheme="minorHAnsi"/>
          <w:sz w:val="22"/>
          <w:szCs w:val="22"/>
        </w:rPr>
        <w:t>vengono</w:t>
      </w:r>
      <w:r w:rsidR="001E17B7" w:rsidRPr="00EB70E9">
        <w:rPr>
          <w:rFonts w:asciiTheme="minorHAnsi" w:hAnsiTheme="minorHAnsi" w:cstheme="minorHAnsi"/>
          <w:sz w:val="22"/>
          <w:szCs w:val="22"/>
        </w:rPr>
        <w:t xml:space="preserve"> </w:t>
      </w:r>
      <w:r w:rsidR="004313B7" w:rsidRPr="00EB70E9">
        <w:rPr>
          <w:rFonts w:asciiTheme="minorHAnsi" w:hAnsiTheme="minorHAnsi" w:cstheme="minorHAnsi"/>
          <w:sz w:val="22"/>
          <w:szCs w:val="22"/>
        </w:rPr>
        <w:t>messi a disposizione delle amministrazioni locali attraverso una serie di incontri di sensibilizzazione e formazione all’utilizzo.</w:t>
      </w:r>
    </w:p>
    <w:p w:rsidR="00C463A5" w:rsidRPr="00EB70E9" w:rsidRDefault="00C463A5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lastRenderedPageBreak/>
        <w:t>Fase 2 –</w:t>
      </w:r>
      <w:r w:rsidR="001833D4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 xml:space="preserve"> </w:t>
      </w:r>
      <w:r w:rsidR="004313B7"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>ASCOLTARE</w:t>
      </w:r>
    </w:p>
    <w:p w:rsidR="00EA5271" w:rsidRPr="00EB70E9" w:rsidRDefault="004313B7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>In parallelo e in stretto raccordo con la fase di analisi, le</w:t>
      </w:r>
      <w:r w:rsidR="00595E9E" w:rsidRPr="00EB70E9">
        <w:rPr>
          <w:rFonts w:asciiTheme="minorHAnsi" w:hAnsiTheme="minorHAnsi" w:cstheme="minorHAnsi"/>
          <w:sz w:val="22"/>
          <w:szCs w:val="22"/>
        </w:rPr>
        <w:t xml:space="preserve"> “Antenne </w:t>
      </w:r>
      <w:r w:rsidRPr="00EB70E9">
        <w:rPr>
          <w:rFonts w:asciiTheme="minorHAnsi" w:hAnsiTheme="minorHAnsi" w:cstheme="minorHAnsi"/>
          <w:sz w:val="22"/>
          <w:szCs w:val="22"/>
        </w:rPr>
        <w:t>territoriali</w:t>
      </w:r>
      <w:r w:rsidR="00595E9E" w:rsidRPr="00EB70E9">
        <w:rPr>
          <w:rFonts w:asciiTheme="minorHAnsi" w:hAnsiTheme="minorHAnsi" w:cstheme="minorHAnsi"/>
          <w:sz w:val="22"/>
          <w:szCs w:val="22"/>
        </w:rPr>
        <w:t xml:space="preserve">” individuate nelle </w:t>
      </w:r>
      <w:r w:rsidRPr="00EB70E9">
        <w:rPr>
          <w:rFonts w:asciiTheme="minorHAnsi" w:hAnsiTheme="minorHAnsi" w:cstheme="minorHAnsi"/>
          <w:sz w:val="22"/>
          <w:szCs w:val="22"/>
        </w:rPr>
        <w:t xml:space="preserve"> </w:t>
      </w:r>
      <w:r w:rsidR="00595E9E" w:rsidRPr="00EB70E9">
        <w:rPr>
          <w:rFonts w:asciiTheme="minorHAnsi" w:hAnsiTheme="minorHAnsi" w:cstheme="minorHAnsi"/>
          <w:sz w:val="22"/>
          <w:szCs w:val="22"/>
        </w:rPr>
        <w:t xml:space="preserve">Camere di commercio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opererano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 come punti di ascolto e di animazione a sostegno degli attori istituzionali locali</w:t>
      </w:r>
      <w:r w:rsidR="00EA5271" w:rsidRPr="00EB70E9">
        <w:rPr>
          <w:rFonts w:asciiTheme="minorHAnsi" w:hAnsiTheme="minorHAnsi" w:cstheme="minorHAnsi"/>
          <w:sz w:val="22"/>
          <w:szCs w:val="22"/>
        </w:rPr>
        <w:t xml:space="preserve"> in una logica di </w:t>
      </w:r>
      <w:proofErr w:type="spellStart"/>
      <w:r w:rsidR="00EA5271" w:rsidRPr="00EB70E9">
        <w:rPr>
          <w:rFonts w:asciiTheme="minorHAnsi" w:hAnsiTheme="minorHAnsi" w:cstheme="minorHAnsi"/>
          <w:i/>
          <w:sz w:val="22"/>
          <w:szCs w:val="22"/>
        </w:rPr>
        <w:t>capacity</w:t>
      </w:r>
      <w:proofErr w:type="spellEnd"/>
      <w:r w:rsidR="00EA5271" w:rsidRPr="00EB70E9">
        <w:rPr>
          <w:rFonts w:asciiTheme="minorHAnsi" w:hAnsiTheme="minorHAnsi" w:cstheme="minorHAnsi"/>
          <w:i/>
          <w:sz w:val="22"/>
          <w:szCs w:val="22"/>
        </w:rPr>
        <w:t xml:space="preserve"> building</w:t>
      </w:r>
      <w:r w:rsidRPr="00EB70E9">
        <w:rPr>
          <w:rFonts w:asciiTheme="minorHAnsi" w:hAnsiTheme="minorHAnsi" w:cstheme="minorHAnsi"/>
          <w:sz w:val="22"/>
          <w:szCs w:val="22"/>
        </w:rPr>
        <w:t xml:space="preserve">. </w:t>
      </w:r>
      <w:r w:rsidR="00EA5271" w:rsidRPr="00EB70E9">
        <w:rPr>
          <w:rFonts w:asciiTheme="minorHAnsi" w:hAnsiTheme="minorHAnsi" w:cstheme="minorHAnsi"/>
          <w:sz w:val="22"/>
          <w:szCs w:val="22"/>
        </w:rPr>
        <w:t>In questa loro funzione, la rete delle Antenne territoriali dovrà rac</w:t>
      </w:r>
      <w:r w:rsidRPr="00EB70E9">
        <w:rPr>
          <w:rFonts w:asciiTheme="minorHAnsi" w:hAnsiTheme="minorHAnsi" w:cstheme="minorHAnsi"/>
          <w:sz w:val="22"/>
          <w:szCs w:val="22"/>
        </w:rPr>
        <w:t>cogliere</w:t>
      </w:r>
      <w:r w:rsidR="00595E9E" w:rsidRPr="00EB70E9">
        <w:rPr>
          <w:rFonts w:asciiTheme="minorHAnsi" w:hAnsiTheme="minorHAnsi" w:cstheme="minorHAnsi"/>
          <w:sz w:val="22"/>
          <w:szCs w:val="22"/>
        </w:rPr>
        <w:t xml:space="preserve"> le istanze e le criticità direttamente dalla voce degli interlocutori coinvolti (imprese e loro associazioni, istituzioni non profit, </w:t>
      </w:r>
      <w:r w:rsidR="00EA5271" w:rsidRPr="00EB70E9">
        <w:rPr>
          <w:rFonts w:asciiTheme="minorHAnsi" w:hAnsiTheme="minorHAnsi" w:cstheme="minorHAnsi"/>
          <w:sz w:val="22"/>
          <w:szCs w:val="22"/>
        </w:rPr>
        <w:t>università e centri di ricerca) attraverso incontri mirati o forme di interlocuzione più informale.</w:t>
      </w:r>
    </w:p>
    <w:p w:rsidR="00F61D47" w:rsidRPr="00EB70E9" w:rsidRDefault="00F61D47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73DF" w:rsidRPr="00EB70E9" w:rsidRDefault="00A36795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>Fase 3</w:t>
      </w:r>
      <w:r w:rsidR="001833D4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 xml:space="preserve"> </w:t>
      </w:r>
      <w:r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 xml:space="preserve">- </w:t>
      </w:r>
      <w:r w:rsidR="008E6418" w:rsidRPr="00EB70E9">
        <w:rPr>
          <w:rFonts w:asciiTheme="minorHAnsi" w:eastAsiaTheme="minorHAnsi" w:hAnsiTheme="minorHAnsi" w:cstheme="minorHAnsi"/>
          <w:b/>
          <w:i/>
          <w:color w:val="1F497D" w:themeColor="text2"/>
          <w:szCs w:val="24"/>
          <w:lang w:eastAsia="en-US"/>
        </w:rPr>
        <w:t>PROPORRE</w:t>
      </w:r>
    </w:p>
    <w:p w:rsidR="008E6418" w:rsidRPr="00EB70E9" w:rsidRDefault="008E6418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Questa fase ha l’obiettivo di declinare in modalità e strumenti operativi quanto emerso nella fase di ascolto, </w:t>
      </w:r>
      <w:r w:rsidR="00D64FF5" w:rsidRPr="00EB70E9">
        <w:rPr>
          <w:rFonts w:asciiTheme="minorHAnsi" w:hAnsiTheme="minorHAnsi" w:cstheme="minorHAnsi"/>
          <w:sz w:val="22"/>
          <w:szCs w:val="22"/>
        </w:rPr>
        <w:t>orientandola verso progetti concreti e sostenibili.</w:t>
      </w:r>
      <w:r w:rsidR="00356981" w:rsidRPr="00EB70E9">
        <w:rPr>
          <w:rFonts w:asciiTheme="minorHAnsi" w:hAnsiTheme="minorHAnsi" w:cstheme="minorHAnsi"/>
          <w:sz w:val="22"/>
          <w:szCs w:val="22"/>
        </w:rPr>
        <w:t xml:space="preserve"> In maniera coerente con le esigenze emerse, potranno essere predisposti e messi a disposizione dei soggetti pubblici strumenti differenti a seconda delle diverse esigente dei territori</w:t>
      </w:r>
      <w:r w:rsidR="00681348" w:rsidRPr="00EB70E9">
        <w:rPr>
          <w:rFonts w:asciiTheme="minorHAnsi" w:hAnsiTheme="minorHAnsi" w:cstheme="minorHAnsi"/>
          <w:sz w:val="22"/>
          <w:szCs w:val="22"/>
        </w:rPr>
        <w:t>,</w:t>
      </w:r>
      <w:r w:rsidR="00356981" w:rsidRPr="00EB70E9">
        <w:rPr>
          <w:rFonts w:asciiTheme="minorHAnsi" w:hAnsiTheme="minorHAnsi" w:cstheme="minorHAnsi"/>
          <w:sz w:val="22"/>
          <w:szCs w:val="22"/>
        </w:rPr>
        <w:t xml:space="preserve"> utili all’attuazione delle policy locali: procedure, metodologie, prassi lavorative, prototipi, format. </w:t>
      </w:r>
    </w:p>
    <w:p w:rsidR="00356981" w:rsidRPr="00EB70E9" w:rsidRDefault="00356981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Con questa attività si punta anche ad alimentare un’azione di diffusione e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circolarizzazione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 di buone pratiche, allo scopo di garantire efficienza e promuovere una qualificata progettualità. </w:t>
      </w:r>
    </w:p>
    <w:p w:rsidR="006773DF" w:rsidRPr="00EB70E9" w:rsidRDefault="006773DF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1AFE" w:rsidRPr="00EB70E9" w:rsidRDefault="00A81AFE" w:rsidP="00EB70E9">
      <w:pPr>
        <w:shd w:val="clear" w:color="auto" w:fill="FFFFFF"/>
        <w:spacing w:after="120" w:line="276" w:lineRule="auto"/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</w:pPr>
      <w:r w:rsidRPr="00EB70E9">
        <w:rPr>
          <w:rFonts w:asciiTheme="minorHAnsi" w:eastAsiaTheme="minorHAnsi" w:hAnsiTheme="minorHAnsi" w:cstheme="minorHAnsi"/>
          <w:b/>
          <w:color w:val="1F497D" w:themeColor="text2"/>
          <w:sz w:val="28"/>
          <w:szCs w:val="28"/>
          <w:lang w:eastAsia="en-US"/>
        </w:rPr>
        <w:t>RISULTATI ATTESI e IMPATTI</w:t>
      </w:r>
    </w:p>
    <w:p w:rsidR="00A81AFE" w:rsidRPr="00EB70E9" w:rsidRDefault="00A81AFE" w:rsidP="00EB70E9">
      <w:pPr>
        <w:pStyle w:val="Default"/>
        <w:spacing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1AFE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Disponibilità di strumenti da parte delle amministrazioni per l’analisi e il monitoraggio delle dinamiche economiche </w:t>
      </w:r>
    </w:p>
    <w:p w:rsidR="00A81AFE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Maggiore conoscenza, consapevolezza e utilizzo di strumentazione utile alla Programmazione </w:t>
      </w:r>
    </w:p>
    <w:p w:rsidR="00A81AFE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Potenziamento della capacità di progettazione e </w:t>
      </w:r>
      <w:proofErr w:type="spellStart"/>
      <w:r w:rsidRPr="00EB70E9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Pr="00EB70E9">
        <w:rPr>
          <w:rFonts w:asciiTheme="minorHAnsi" w:hAnsiTheme="minorHAnsi" w:cstheme="minorHAnsi"/>
          <w:sz w:val="22"/>
          <w:szCs w:val="22"/>
        </w:rPr>
        <w:t xml:space="preserve">-progettazione delle Amministrazioni locali attraverso una rete territoriale diffusa e competente </w:t>
      </w:r>
    </w:p>
    <w:p w:rsidR="00A81AFE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Maggiore interazione e visibilità delle amministrazioni locali nei confronti del mondo economico-produttivo </w:t>
      </w:r>
    </w:p>
    <w:p w:rsidR="00A81AFE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 xml:space="preserve">Migliore qualità ed efficacia della progettualità e della spesa pubblica </w:t>
      </w:r>
    </w:p>
    <w:p w:rsidR="000F7CCA" w:rsidRPr="00EB70E9" w:rsidRDefault="00A81AFE" w:rsidP="00EB70E9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0E9">
        <w:rPr>
          <w:rFonts w:asciiTheme="minorHAnsi" w:hAnsiTheme="minorHAnsi" w:cstheme="minorHAnsi"/>
          <w:sz w:val="22"/>
          <w:szCs w:val="22"/>
        </w:rPr>
        <w:t>Maggiore coerenza tra domanda (esigenze) delle imprese e offerta (strumenti) delle pubbliche amministrazioni per la crescita e lo sviluppo dei territori</w:t>
      </w:r>
    </w:p>
    <w:p w:rsidR="000F7CCA" w:rsidRPr="00EB70E9" w:rsidRDefault="000F7CCA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95E40" w:rsidRPr="00EB70E9" w:rsidRDefault="00495E40" w:rsidP="00EB70E9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495E40" w:rsidRPr="00EB70E9" w:rsidSect="00C838F5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Web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52D"/>
    <w:multiLevelType w:val="hybridMultilevel"/>
    <w:tmpl w:val="0BF40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2D6E"/>
    <w:multiLevelType w:val="hybridMultilevel"/>
    <w:tmpl w:val="3BB4E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52C4E"/>
    <w:multiLevelType w:val="hybridMultilevel"/>
    <w:tmpl w:val="401AA07C"/>
    <w:lvl w:ilvl="0" w:tplc="DB6C578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F"/>
    <w:rsid w:val="00010BD5"/>
    <w:rsid w:val="000250FB"/>
    <w:rsid w:val="000554CB"/>
    <w:rsid w:val="000E70CC"/>
    <w:rsid w:val="000F7CCA"/>
    <w:rsid w:val="0010081C"/>
    <w:rsid w:val="00114A6B"/>
    <w:rsid w:val="00131C30"/>
    <w:rsid w:val="001322D7"/>
    <w:rsid w:val="00165D1E"/>
    <w:rsid w:val="001833D4"/>
    <w:rsid w:val="001B0187"/>
    <w:rsid w:val="001C12D3"/>
    <w:rsid w:val="001E17B7"/>
    <w:rsid w:val="001F31E3"/>
    <w:rsid w:val="00251F14"/>
    <w:rsid w:val="0025347C"/>
    <w:rsid w:val="002763DE"/>
    <w:rsid w:val="00280D69"/>
    <w:rsid w:val="00282572"/>
    <w:rsid w:val="002A0FA3"/>
    <w:rsid w:val="002A65D1"/>
    <w:rsid w:val="002A6C3F"/>
    <w:rsid w:val="00356981"/>
    <w:rsid w:val="00373996"/>
    <w:rsid w:val="003D44A5"/>
    <w:rsid w:val="003E6B10"/>
    <w:rsid w:val="003F08C8"/>
    <w:rsid w:val="004010DC"/>
    <w:rsid w:val="00403B5E"/>
    <w:rsid w:val="00411446"/>
    <w:rsid w:val="004313B7"/>
    <w:rsid w:val="00495E40"/>
    <w:rsid w:val="004967C3"/>
    <w:rsid w:val="00497C75"/>
    <w:rsid w:val="004F510D"/>
    <w:rsid w:val="00595E9E"/>
    <w:rsid w:val="005D2A66"/>
    <w:rsid w:val="005D2D63"/>
    <w:rsid w:val="00671B85"/>
    <w:rsid w:val="006773DF"/>
    <w:rsid w:val="0067777B"/>
    <w:rsid w:val="00681348"/>
    <w:rsid w:val="00717431"/>
    <w:rsid w:val="00755898"/>
    <w:rsid w:val="00796F39"/>
    <w:rsid w:val="007C26DA"/>
    <w:rsid w:val="008763B1"/>
    <w:rsid w:val="00884A44"/>
    <w:rsid w:val="008911E4"/>
    <w:rsid w:val="008C652E"/>
    <w:rsid w:val="008C7C6E"/>
    <w:rsid w:val="008E6418"/>
    <w:rsid w:val="00903D9B"/>
    <w:rsid w:val="009738FC"/>
    <w:rsid w:val="00991A62"/>
    <w:rsid w:val="00A353F0"/>
    <w:rsid w:val="00A36795"/>
    <w:rsid w:val="00A44AF1"/>
    <w:rsid w:val="00A81AFE"/>
    <w:rsid w:val="00A941D8"/>
    <w:rsid w:val="00AE278F"/>
    <w:rsid w:val="00B2166C"/>
    <w:rsid w:val="00B37258"/>
    <w:rsid w:val="00B75737"/>
    <w:rsid w:val="00C076C1"/>
    <w:rsid w:val="00C42ABF"/>
    <w:rsid w:val="00C463A5"/>
    <w:rsid w:val="00C7325A"/>
    <w:rsid w:val="00C7678E"/>
    <w:rsid w:val="00C838F5"/>
    <w:rsid w:val="00C904E5"/>
    <w:rsid w:val="00CC4DFC"/>
    <w:rsid w:val="00CD1655"/>
    <w:rsid w:val="00CE00A6"/>
    <w:rsid w:val="00CF35BE"/>
    <w:rsid w:val="00D6239E"/>
    <w:rsid w:val="00D64578"/>
    <w:rsid w:val="00D64FF5"/>
    <w:rsid w:val="00D87267"/>
    <w:rsid w:val="00DA3EA3"/>
    <w:rsid w:val="00DB62A8"/>
    <w:rsid w:val="00DE7263"/>
    <w:rsid w:val="00E6254C"/>
    <w:rsid w:val="00EA5271"/>
    <w:rsid w:val="00EB70E9"/>
    <w:rsid w:val="00F172E8"/>
    <w:rsid w:val="00F61D47"/>
    <w:rsid w:val="00FC039A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7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7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8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7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7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8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525F-B062-4EA2-B38D-29F43C39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</dc:creator>
  <cp:lastModifiedBy>altina</cp:lastModifiedBy>
  <cp:revision>3</cp:revision>
  <cp:lastPrinted>2018-09-19T10:31:00Z</cp:lastPrinted>
  <dcterms:created xsi:type="dcterms:W3CDTF">2020-02-27T12:16:00Z</dcterms:created>
  <dcterms:modified xsi:type="dcterms:W3CDTF">2020-02-27T12:17:00Z</dcterms:modified>
</cp:coreProperties>
</file>