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FEE86" w14:textId="77777777" w:rsidR="00C27CCA" w:rsidRDefault="00C27CCA">
      <w:pPr>
        <w:rPr>
          <w:b/>
          <w:bCs/>
        </w:rPr>
      </w:pPr>
    </w:p>
    <w:p w14:paraId="42B1881E" w14:textId="08722EDC" w:rsidR="00264C06" w:rsidRPr="00264C06" w:rsidRDefault="00C27CCA" w:rsidP="00264C06">
      <w:pPr>
        <w:jc w:val="center"/>
        <w:rPr>
          <w:rFonts w:cstheme="minorHAnsi"/>
          <w:b/>
          <w:bCs/>
          <w:i/>
          <w:iCs/>
          <w:sz w:val="28"/>
          <w:szCs w:val="28"/>
        </w:rPr>
      </w:pPr>
      <w:r w:rsidRPr="00264C06">
        <w:rPr>
          <w:rFonts w:cstheme="minorHAnsi"/>
          <w:b/>
          <w:bCs/>
          <w:i/>
          <w:iCs/>
          <w:sz w:val="28"/>
          <w:szCs w:val="28"/>
        </w:rPr>
        <w:t>Comunicato stampa</w:t>
      </w:r>
    </w:p>
    <w:p w14:paraId="33CFE6B7" w14:textId="3C621D38" w:rsidR="00264C06" w:rsidRPr="00264C06" w:rsidRDefault="00264C06" w:rsidP="00264C06">
      <w:pPr>
        <w:jc w:val="center"/>
        <w:rPr>
          <w:rFonts w:cstheme="minorHAnsi"/>
          <w:b/>
          <w:bCs/>
          <w:sz w:val="28"/>
          <w:szCs w:val="28"/>
        </w:rPr>
      </w:pPr>
      <w:r w:rsidRPr="00264C06">
        <w:rPr>
          <w:rFonts w:cstheme="minorHAnsi"/>
          <w:b/>
          <w:bCs/>
          <w:sz w:val="28"/>
          <w:szCs w:val="28"/>
        </w:rPr>
        <w:t>Indagine di Unioncamere</w:t>
      </w:r>
      <w:r w:rsidR="00AB0971">
        <w:rPr>
          <w:rFonts w:cstheme="minorHAnsi"/>
          <w:b/>
          <w:bCs/>
          <w:sz w:val="28"/>
          <w:szCs w:val="28"/>
        </w:rPr>
        <w:t xml:space="preserve"> </w:t>
      </w:r>
      <w:r w:rsidRPr="00264C06">
        <w:rPr>
          <w:rFonts w:cstheme="minorHAnsi"/>
          <w:b/>
          <w:bCs/>
          <w:sz w:val="28"/>
          <w:szCs w:val="28"/>
        </w:rPr>
        <w:t>presso le Centrali di Acquisto della GDO</w:t>
      </w:r>
    </w:p>
    <w:p w14:paraId="77C34BA8" w14:textId="17C91ECD" w:rsidR="00264C06" w:rsidRPr="00264C06" w:rsidRDefault="00264C06" w:rsidP="00264C06">
      <w:pPr>
        <w:contextualSpacing/>
        <w:jc w:val="both"/>
        <w:rPr>
          <w:rFonts w:cstheme="minorHAnsi"/>
        </w:rPr>
      </w:pPr>
      <w:r w:rsidRPr="00264C06">
        <w:rPr>
          <w:rFonts w:cstheme="minorHAnsi"/>
          <w:b/>
        </w:rPr>
        <w:t xml:space="preserve">Roma </w:t>
      </w:r>
      <w:r w:rsidR="001D24A3">
        <w:rPr>
          <w:rFonts w:cstheme="minorHAnsi"/>
          <w:b/>
        </w:rPr>
        <w:t>17</w:t>
      </w:r>
      <w:r>
        <w:rPr>
          <w:rFonts w:cstheme="minorHAnsi"/>
          <w:b/>
        </w:rPr>
        <w:t xml:space="preserve"> novembre 2021</w:t>
      </w:r>
      <w:r w:rsidRPr="00264C06">
        <w:rPr>
          <w:rFonts w:cstheme="minorHAnsi"/>
        </w:rPr>
        <w:t xml:space="preserve"> – I dati di settembre forniti dalle Centrali di Acquisto della GDO mostrano un aumento dei prezzi </w:t>
      </w:r>
      <w:r w:rsidR="0012608A" w:rsidRPr="00264C06">
        <w:rPr>
          <w:rFonts w:cstheme="minorHAnsi"/>
        </w:rPr>
        <w:t>del</w:t>
      </w:r>
      <w:r w:rsidR="0012608A">
        <w:rPr>
          <w:rFonts w:cstheme="minorHAnsi"/>
        </w:rPr>
        <w:t xml:space="preserve">lo </w:t>
      </w:r>
      <w:r w:rsidR="0012608A" w:rsidRPr="00264C06">
        <w:rPr>
          <w:rFonts w:cstheme="minorHAnsi"/>
        </w:rPr>
        <w:t>0,4%</w:t>
      </w:r>
      <w:r w:rsidR="0012608A">
        <w:rPr>
          <w:rFonts w:cstheme="minorHAnsi"/>
        </w:rPr>
        <w:t>,</w:t>
      </w:r>
      <w:r w:rsidR="0012608A" w:rsidRPr="00264C06">
        <w:rPr>
          <w:rFonts w:cstheme="minorHAnsi"/>
        </w:rPr>
        <w:t xml:space="preserve"> rispetto al mese precedente</w:t>
      </w:r>
      <w:r w:rsidR="0012608A">
        <w:rPr>
          <w:rFonts w:cstheme="minorHAnsi"/>
        </w:rPr>
        <w:t>,</w:t>
      </w:r>
      <w:r w:rsidR="0012608A" w:rsidRPr="00264C06">
        <w:rPr>
          <w:rFonts w:cstheme="minorHAnsi"/>
        </w:rPr>
        <w:t xml:space="preserve"> </w:t>
      </w:r>
      <w:r w:rsidR="0012608A">
        <w:rPr>
          <w:rFonts w:cstheme="minorHAnsi"/>
        </w:rPr>
        <w:t>per i</w:t>
      </w:r>
      <w:r w:rsidRPr="00264C06">
        <w:rPr>
          <w:rFonts w:cstheme="minorHAnsi"/>
        </w:rPr>
        <w:t xml:space="preserve"> 46 prodotti maggiormente consumati e</w:t>
      </w:r>
      <w:r w:rsidR="0012608A">
        <w:rPr>
          <w:rFonts w:cstheme="minorHAnsi"/>
        </w:rPr>
        <w:t xml:space="preserve"> </w:t>
      </w:r>
      <w:r w:rsidRPr="00264C06">
        <w:rPr>
          <w:rFonts w:cstheme="minorHAnsi"/>
        </w:rPr>
        <w:t xml:space="preserve">oggetto dell’indagine condotta da </w:t>
      </w:r>
      <w:r w:rsidRPr="00264C06">
        <w:rPr>
          <w:rFonts w:cstheme="minorHAnsi"/>
          <w:b/>
          <w:bCs/>
        </w:rPr>
        <w:t>Unioncamere</w:t>
      </w:r>
      <w:r w:rsidR="0012608A">
        <w:rPr>
          <w:rFonts w:cstheme="minorHAnsi"/>
          <w:b/>
          <w:bCs/>
        </w:rPr>
        <w:t xml:space="preserve"> </w:t>
      </w:r>
      <w:r w:rsidRPr="00264C06">
        <w:rPr>
          <w:rFonts w:cstheme="minorHAnsi"/>
        </w:rPr>
        <w:t>con la collaborazione</w:t>
      </w:r>
      <w:r>
        <w:rPr>
          <w:rFonts w:cstheme="minorHAnsi"/>
        </w:rPr>
        <w:t xml:space="preserve"> di</w:t>
      </w:r>
      <w:r w:rsidRPr="00264C06">
        <w:rPr>
          <w:rFonts w:cstheme="minorHAnsi"/>
        </w:rPr>
        <w:t xml:space="preserve"> </w:t>
      </w:r>
      <w:r w:rsidR="00755B76" w:rsidRPr="00755B76">
        <w:rPr>
          <w:rFonts w:cstheme="minorHAnsi"/>
          <w:b/>
          <w:bCs/>
        </w:rPr>
        <w:t>BMTI</w:t>
      </w:r>
      <w:r w:rsidR="00755B76">
        <w:rPr>
          <w:rFonts w:cstheme="minorHAnsi"/>
        </w:rPr>
        <w:t xml:space="preserve"> e </w:t>
      </w:r>
      <w:r w:rsidRPr="00264C06">
        <w:rPr>
          <w:rFonts w:cstheme="minorHAnsi"/>
          <w:b/>
          <w:bCs/>
        </w:rPr>
        <w:t>REF Ricerche</w:t>
      </w:r>
      <w:r w:rsidRPr="00264C06">
        <w:rPr>
          <w:rFonts w:cstheme="minorHAnsi"/>
        </w:rPr>
        <w:t xml:space="preserve">. </w:t>
      </w:r>
      <w:r w:rsidRPr="00DF3C32">
        <w:rPr>
          <w:rFonts w:cstheme="minorHAnsi"/>
        </w:rPr>
        <w:t xml:space="preserve">Per gli stessi prodotti, </w:t>
      </w:r>
      <w:r w:rsidR="00DF3C32" w:rsidRPr="00DF3C32">
        <w:rPr>
          <w:rFonts w:cstheme="minorHAnsi"/>
        </w:rPr>
        <w:t xml:space="preserve">inoltre, </w:t>
      </w:r>
      <w:r w:rsidRPr="00DF3C32">
        <w:rPr>
          <w:rFonts w:cstheme="minorHAnsi"/>
        </w:rPr>
        <w:t xml:space="preserve">si prospettano </w:t>
      </w:r>
      <w:r w:rsidR="00DF3C32" w:rsidRPr="00DF3C32">
        <w:rPr>
          <w:rFonts w:cstheme="minorHAnsi"/>
        </w:rPr>
        <w:t xml:space="preserve">incrementi </w:t>
      </w:r>
      <w:r w:rsidRPr="00DF3C32">
        <w:rPr>
          <w:rFonts w:cstheme="minorHAnsi"/>
        </w:rPr>
        <w:t>intorno al</w:t>
      </w:r>
      <w:r w:rsidR="00DF3C32" w:rsidRPr="00DF3C32">
        <w:rPr>
          <w:rFonts w:cstheme="minorHAnsi"/>
        </w:rPr>
        <w:t>l’</w:t>
      </w:r>
      <w:r w:rsidRPr="00DF3C32">
        <w:rPr>
          <w:rFonts w:cstheme="minorHAnsi"/>
        </w:rPr>
        <w:t>1,9% nel bimestre ottobre-novembre.</w:t>
      </w:r>
    </w:p>
    <w:p w14:paraId="1A3A711B" w14:textId="40CE9BE0" w:rsidR="00264C06" w:rsidRPr="00264C06" w:rsidRDefault="00DF3C32" w:rsidP="00264C06">
      <w:pPr>
        <w:contextualSpacing/>
        <w:jc w:val="both"/>
        <w:rPr>
          <w:rFonts w:cstheme="minorHAnsi"/>
        </w:rPr>
      </w:pPr>
      <w:r>
        <w:rPr>
          <w:rFonts w:cstheme="minorHAnsi"/>
        </w:rPr>
        <w:t xml:space="preserve">A settembre, tra i prodotti che hanno mostrato le maggiori variazioni rispetto al mese precedente, </w:t>
      </w:r>
      <w:r w:rsidR="00264C06" w:rsidRPr="00264C06">
        <w:rPr>
          <w:rFonts w:cstheme="minorHAnsi"/>
        </w:rPr>
        <w:t>spicca</w:t>
      </w:r>
      <w:r w:rsidR="00BD4F20">
        <w:rPr>
          <w:rFonts w:cstheme="minorHAnsi"/>
        </w:rPr>
        <w:t>no</w:t>
      </w:r>
      <w:r w:rsidR="00264C06" w:rsidRPr="00264C06">
        <w:rPr>
          <w:rFonts w:cstheme="minorHAnsi"/>
        </w:rPr>
        <w:t xml:space="preserve"> </w:t>
      </w:r>
      <w:r w:rsidR="00264C06">
        <w:rPr>
          <w:rFonts w:cstheme="minorHAnsi"/>
        </w:rPr>
        <w:t>la</w:t>
      </w:r>
      <w:r w:rsidR="00264C06" w:rsidRPr="00264C06">
        <w:rPr>
          <w:rFonts w:cstheme="minorHAnsi"/>
        </w:rPr>
        <w:t xml:space="preserve"> </w:t>
      </w:r>
      <w:r w:rsidR="00264C06" w:rsidRPr="00264C06">
        <w:rPr>
          <w:rFonts w:cstheme="minorHAnsi"/>
          <w:b/>
          <w:bCs/>
        </w:rPr>
        <w:t>farina di grano tenero</w:t>
      </w:r>
      <w:r w:rsidR="00264C06" w:rsidRPr="00264C06">
        <w:rPr>
          <w:rFonts w:cstheme="minorHAnsi"/>
        </w:rPr>
        <w:t xml:space="preserve"> (+2%) e la </w:t>
      </w:r>
      <w:r w:rsidR="00264C06" w:rsidRPr="00264C06">
        <w:rPr>
          <w:rFonts w:cstheme="minorHAnsi"/>
          <w:b/>
          <w:bCs/>
        </w:rPr>
        <w:t>pasta di semola di grano duro</w:t>
      </w:r>
      <w:r w:rsidR="00264C06" w:rsidRPr="00264C06">
        <w:rPr>
          <w:rFonts w:cstheme="minorHAnsi"/>
        </w:rPr>
        <w:t xml:space="preserve"> (+0,9%) a </w:t>
      </w:r>
      <w:r>
        <w:rPr>
          <w:rFonts w:cstheme="minorHAnsi"/>
        </w:rPr>
        <w:t>causa</w:t>
      </w:r>
      <w:r w:rsidR="00264C06" w:rsidRPr="00264C06">
        <w:rPr>
          <w:rFonts w:cstheme="minorHAnsi"/>
        </w:rPr>
        <w:t xml:space="preserve"> </w:t>
      </w:r>
      <w:r w:rsidR="00264C06">
        <w:rPr>
          <w:rFonts w:cstheme="minorHAnsi"/>
        </w:rPr>
        <w:t>dei rialzi</w:t>
      </w:r>
      <w:r w:rsidR="00264C06" w:rsidRPr="00264C06">
        <w:rPr>
          <w:rFonts w:cstheme="minorHAnsi"/>
        </w:rPr>
        <w:t xml:space="preserve"> delle rispettive materie prime. Aumenti anche per la </w:t>
      </w:r>
      <w:r w:rsidR="00264C06" w:rsidRPr="00264C06">
        <w:rPr>
          <w:rFonts w:cstheme="minorHAnsi"/>
          <w:b/>
          <w:bCs/>
        </w:rPr>
        <w:t>carne di vitello</w:t>
      </w:r>
      <w:r w:rsidR="00264C06" w:rsidRPr="00264C06">
        <w:rPr>
          <w:rFonts w:cstheme="minorHAnsi"/>
        </w:rPr>
        <w:t xml:space="preserve"> (+4,2%) e di </w:t>
      </w:r>
      <w:r w:rsidR="00264C06" w:rsidRPr="00264C06">
        <w:rPr>
          <w:rFonts w:cstheme="minorHAnsi"/>
          <w:b/>
          <w:bCs/>
        </w:rPr>
        <w:t>bovino adulto</w:t>
      </w:r>
      <w:r w:rsidR="00264C06" w:rsidRPr="00264C06">
        <w:rPr>
          <w:rFonts w:cstheme="minorHAnsi"/>
        </w:rPr>
        <w:t xml:space="preserve"> (+1,5%).</w:t>
      </w:r>
    </w:p>
    <w:p w14:paraId="78661BD0" w14:textId="77777777" w:rsidR="00BD4F20" w:rsidRDefault="00DF3C32" w:rsidP="00264C06">
      <w:pPr>
        <w:contextualSpacing/>
        <w:jc w:val="both"/>
        <w:rPr>
          <w:rFonts w:cstheme="minorHAnsi"/>
        </w:rPr>
      </w:pPr>
      <w:r>
        <w:rPr>
          <w:rFonts w:cstheme="minorHAnsi"/>
        </w:rPr>
        <w:t>Significativi</w:t>
      </w:r>
      <w:r w:rsidR="00264C06" w:rsidRPr="00264C06">
        <w:rPr>
          <w:rFonts w:cstheme="minorHAnsi"/>
        </w:rPr>
        <w:t xml:space="preserve"> </w:t>
      </w:r>
      <w:r w:rsidR="00BD4F20">
        <w:rPr>
          <w:rFonts w:cstheme="minorHAnsi"/>
        </w:rPr>
        <w:t xml:space="preserve">aumenti, </w:t>
      </w:r>
      <w:r w:rsidR="00BD4F20" w:rsidRPr="00264C06">
        <w:rPr>
          <w:rFonts w:cstheme="minorHAnsi"/>
        </w:rPr>
        <w:t>rispetto al bimestre precedente</w:t>
      </w:r>
      <w:r w:rsidR="00BD4F20">
        <w:rPr>
          <w:rFonts w:cstheme="minorHAnsi"/>
        </w:rPr>
        <w:t>,</w:t>
      </w:r>
      <w:r w:rsidR="00264C06" w:rsidRPr="00264C06">
        <w:rPr>
          <w:rFonts w:cstheme="minorHAnsi"/>
        </w:rPr>
        <w:t xml:space="preserve"> </w:t>
      </w:r>
      <w:r>
        <w:rPr>
          <w:rFonts w:cstheme="minorHAnsi"/>
        </w:rPr>
        <w:t xml:space="preserve">si </w:t>
      </w:r>
      <w:r w:rsidR="00BD4F20">
        <w:rPr>
          <w:rFonts w:cstheme="minorHAnsi"/>
        </w:rPr>
        <w:t>prefigurano</w:t>
      </w:r>
      <w:r>
        <w:rPr>
          <w:rFonts w:cstheme="minorHAnsi"/>
        </w:rPr>
        <w:t xml:space="preserve"> anche per il bimestre </w:t>
      </w:r>
      <w:r w:rsidR="00264C06" w:rsidRPr="00264C06">
        <w:rPr>
          <w:rFonts w:cstheme="minorHAnsi"/>
        </w:rPr>
        <w:t xml:space="preserve">ottobre-novembre: +1,9% </w:t>
      </w:r>
      <w:r>
        <w:rPr>
          <w:rFonts w:cstheme="minorHAnsi"/>
        </w:rPr>
        <w:t>considerando l’intero paniere dei prodotti</w:t>
      </w:r>
      <w:r w:rsidR="00264C06" w:rsidRPr="00264C06">
        <w:rPr>
          <w:rFonts w:cstheme="minorHAnsi"/>
        </w:rPr>
        <w:t xml:space="preserve">, con </w:t>
      </w:r>
      <w:r w:rsidR="00534538">
        <w:rPr>
          <w:rFonts w:cstheme="minorHAnsi"/>
        </w:rPr>
        <w:t>picchi</w:t>
      </w:r>
      <w:r w:rsidR="00264C06" w:rsidRPr="00264C06">
        <w:rPr>
          <w:rFonts w:cstheme="minorHAnsi"/>
        </w:rPr>
        <w:t xml:space="preserve"> superiori al 10% per </w:t>
      </w:r>
      <w:r w:rsidR="00B90DBB">
        <w:rPr>
          <w:rFonts w:cstheme="minorHAnsi"/>
        </w:rPr>
        <w:t xml:space="preserve">la </w:t>
      </w:r>
      <w:r w:rsidR="00264C06" w:rsidRPr="00B90DBB">
        <w:rPr>
          <w:rFonts w:cstheme="minorHAnsi"/>
          <w:b/>
          <w:bCs/>
        </w:rPr>
        <w:t>pasta di semola</w:t>
      </w:r>
      <w:r w:rsidR="00264C06" w:rsidRPr="00264C06">
        <w:rPr>
          <w:rFonts w:cstheme="minorHAnsi"/>
        </w:rPr>
        <w:t xml:space="preserve"> e </w:t>
      </w:r>
      <w:r w:rsidR="00B90DBB">
        <w:rPr>
          <w:rFonts w:cstheme="minorHAnsi"/>
        </w:rPr>
        <w:t xml:space="preserve">la </w:t>
      </w:r>
      <w:r w:rsidR="00264C06" w:rsidRPr="00B90DBB">
        <w:rPr>
          <w:rFonts w:cstheme="minorHAnsi"/>
          <w:b/>
          <w:bCs/>
        </w:rPr>
        <w:t>passata di pomodoro</w:t>
      </w:r>
      <w:r w:rsidR="00B90DBB">
        <w:rPr>
          <w:rFonts w:cstheme="minorHAnsi"/>
        </w:rPr>
        <w:t xml:space="preserve">, +6,5% per la </w:t>
      </w:r>
      <w:r w:rsidR="00B90DBB" w:rsidRPr="00B90DBB">
        <w:rPr>
          <w:rFonts w:cstheme="minorHAnsi"/>
          <w:b/>
          <w:bCs/>
        </w:rPr>
        <w:t>farina di grano tenero</w:t>
      </w:r>
      <w:r w:rsidR="00B90DBB">
        <w:rPr>
          <w:rFonts w:cstheme="minorHAnsi"/>
        </w:rPr>
        <w:t xml:space="preserve"> e +5% per </w:t>
      </w:r>
      <w:r w:rsidR="00B90DBB" w:rsidRPr="00B90DBB">
        <w:rPr>
          <w:rFonts w:cstheme="minorHAnsi"/>
          <w:b/>
          <w:bCs/>
        </w:rPr>
        <w:t>biscotti</w:t>
      </w:r>
      <w:r w:rsidR="00B90DBB">
        <w:rPr>
          <w:rFonts w:cstheme="minorHAnsi"/>
        </w:rPr>
        <w:t xml:space="preserve">, </w:t>
      </w:r>
      <w:r w:rsidR="00B90DBB" w:rsidRPr="00B90DBB">
        <w:rPr>
          <w:rFonts w:cstheme="minorHAnsi"/>
          <w:b/>
          <w:bCs/>
        </w:rPr>
        <w:t>fette</w:t>
      </w:r>
      <w:r w:rsidR="00B90DBB">
        <w:rPr>
          <w:rFonts w:cstheme="minorHAnsi"/>
        </w:rPr>
        <w:t xml:space="preserve"> </w:t>
      </w:r>
      <w:r w:rsidR="00B90DBB" w:rsidRPr="00B90DBB">
        <w:rPr>
          <w:rFonts w:cstheme="minorHAnsi"/>
          <w:b/>
          <w:bCs/>
        </w:rPr>
        <w:t>biscottate</w:t>
      </w:r>
      <w:r w:rsidR="00B90DBB">
        <w:rPr>
          <w:rFonts w:cstheme="minorHAnsi"/>
        </w:rPr>
        <w:t xml:space="preserve"> e </w:t>
      </w:r>
      <w:r w:rsidR="00B90DBB" w:rsidRPr="00B90DBB">
        <w:rPr>
          <w:rFonts w:cstheme="minorHAnsi"/>
          <w:b/>
          <w:bCs/>
        </w:rPr>
        <w:t>crackers</w:t>
      </w:r>
      <w:r w:rsidR="00B90DBB">
        <w:rPr>
          <w:rFonts w:cstheme="minorHAnsi"/>
        </w:rPr>
        <w:t xml:space="preserve">. </w:t>
      </w:r>
    </w:p>
    <w:p w14:paraId="7C40B6DF" w14:textId="29AE8C89" w:rsidR="00264C06" w:rsidRPr="00264C06" w:rsidRDefault="00264C06" w:rsidP="00264C06">
      <w:pPr>
        <w:contextualSpacing/>
        <w:jc w:val="both"/>
        <w:rPr>
          <w:rFonts w:cstheme="minorHAnsi"/>
        </w:rPr>
      </w:pPr>
      <w:r w:rsidRPr="00264C06">
        <w:rPr>
          <w:rFonts w:cstheme="minorHAnsi"/>
        </w:rPr>
        <w:t xml:space="preserve">Qualora le attese dovessero tradursi in consuntivi, l’inflazione alla produzione dei prodotti industriali si attesterebbe intorno al +4,8% nel bimestre ottobre-novembre. </w:t>
      </w:r>
      <w:r w:rsidR="00DF3C32">
        <w:rPr>
          <w:rFonts w:cstheme="minorHAnsi"/>
        </w:rPr>
        <w:t xml:space="preserve">Rispetto ad un anno fa, infatti, ci si aspettano forti incrementi soprattutto per gli </w:t>
      </w:r>
      <w:r w:rsidRPr="00571A70">
        <w:rPr>
          <w:rFonts w:cstheme="minorHAnsi"/>
          <w:b/>
          <w:bCs/>
        </w:rPr>
        <w:t xml:space="preserve">oli </w:t>
      </w:r>
      <w:r w:rsidRPr="00BD4F20">
        <w:rPr>
          <w:rFonts w:cstheme="minorHAnsi"/>
        </w:rPr>
        <w:t xml:space="preserve">e </w:t>
      </w:r>
      <w:r w:rsidR="00BD4F20" w:rsidRPr="00BD4F20">
        <w:rPr>
          <w:rFonts w:cstheme="minorHAnsi"/>
        </w:rPr>
        <w:t>i</w:t>
      </w:r>
      <w:r w:rsidR="00BD4F20">
        <w:rPr>
          <w:rFonts w:cstheme="minorHAnsi"/>
          <w:b/>
          <w:bCs/>
        </w:rPr>
        <w:t xml:space="preserve"> </w:t>
      </w:r>
      <w:r w:rsidRPr="00571A70">
        <w:rPr>
          <w:rFonts w:cstheme="minorHAnsi"/>
          <w:b/>
          <w:bCs/>
        </w:rPr>
        <w:t>grassi</w:t>
      </w:r>
      <w:r w:rsidRPr="00264C06">
        <w:rPr>
          <w:rFonts w:cstheme="minorHAnsi"/>
        </w:rPr>
        <w:t xml:space="preserve"> (+11,9%), i </w:t>
      </w:r>
      <w:r w:rsidRPr="00571A70">
        <w:rPr>
          <w:rFonts w:cstheme="minorHAnsi"/>
          <w:b/>
          <w:bCs/>
        </w:rPr>
        <w:t>derivati dei cereali</w:t>
      </w:r>
      <w:r w:rsidRPr="00264C06">
        <w:rPr>
          <w:rFonts w:cstheme="minorHAnsi"/>
        </w:rPr>
        <w:t xml:space="preserve"> (+6,4%) e lo </w:t>
      </w:r>
      <w:r w:rsidRPr="00571A70">
        <w:rPr>
          <w:rFonts w:cstheme="minorHAnsi"/>
          <w:b/>
          <w:bCs/>
        </w:rPr>
        <w:t>scatolame</w:t>
      </w:r>
      <w:r w:rsidRPr="00264C06">
        <w:rPr>
          <w:rFonts w:cstheme="minorHAnsi"/>
        </w:rPr>
        <w:t xml:space="preserve"> (+5,6%), con rialzi del +14,8% per la </w:t>
      </w:r>
      <w:r w:rsidRPr="00DF3C32">
        <w:rPr>
          <w:rFonts w:cstheme="minorHAnsi"/>
          <w:b/>
          <w:bCs/>
        </w:rPr>
        <w:t>pasta di semola</w:t>
      </w:r>
      <w:r w:rsidRPr="00264C06">
        <w:rPr>
          <w:rFonts w:cstheme="minorHAnsi"/>
        </w:rPr>
        <w:t xml:space="preserve">, del +9,5% per la </w:t>
      </w:r>
      <w:r w:rsidRPr="00DF3C32">
        <w:rPr>
          <w:rFonts w:cstheme="minorHAnsi"/>
          <w:b/>
          <w:bCs/>
        </w:rPr>
        <w:t>farina di grano tenero</w:t>
      </w:r>
      <w:r w:rsidRPr="00264C06">
        <w:rPr>
          <w:rFonts w:cstheme="minorHAnsi"/>
        </w:rPr>
        <w:t xml:space="preserve"> e del +19,2% per la </w:t>
      </w:r>
      <w:r w:rsidR="00DF3C32" w:rsidRPr="00DF3C32">
        <w:rPr>
          <w:rFonts w:cstheme="minorHAnsi"/>
          <w:b/>
          <w:bCs/>
        </w:rPr>
        <w:t>passata di pomodoro</w:t>
      </w:r>
      <w:r w:rsidR="00BD4F20">
        <w:rPr>
          <w:rFonts w:cstheme="minorHAnsi"/>
          <w:b/>
          <w:bCs/>
        </w:rPr>
        <w:t>,</w:t>
      </w:r>
      <w:r w:rsidR="00DF3C32">
        <w:rPr>
          <w:rFonts w:cstheme="minorHAnsi"/>
        </w:rPr>
        <w:t xml:space="preserve"> </w:t>
      </w:r>
      <w:r w:rsidRPr="00264C06">
        <w:rPr>
          <w:rFonts w:cstheme="minorHAnsi"/>
        </w:rPr>
        <w:t xml:space="preserve">a seguito delle tensioni nei mercati internazionali. In particolare, le attese di forte rialzo nella </w:t>
      </w:r>
      <w:r w:rsidRPr="003B210B">
        <w:rPr>
          <w:rFonts w:cstheme="minorHAnsi"/>
          <w:b/>
          <w:bCs/>
        </w:rPr>
        <w:t>filiera grano duro – pasta</w:t>
      </w:r>
      <w:r w:rsidRPr="00264C06">
        <w:rPr>
          <w:rFonts w:cstheme="minorHAnsi"/>
        </w:rPr>
        <w:t xml:space="preserve"> derivano dalla riduzione del raccolto in Canada e negli Stati Uniti causata dalla siccità estiva</w:t>
      </w:r>
      <w:r w:rsidR="003B210B">
        <w:rPr>
          <w:rFonts w:cstheme="minorHAnsi"/>
        </w:rPr>
        <w:t>,</w:t>
      </w:r>
      <w:r w:rsidRPr="00264C06">
        <w:rPr>
          <w:rFonts w:cstheme="minorHAnsi"/>
        </w:rPr>
        <w:t xml:space="preserve"> a cui si aggiunge la </w:t>
      </w:r>
      <w:r w:rsidR="003B210B">
        <w:rPr>
          <w:rFonts w:cstheme="minorHAnsi"/>
        </w:rPr>
        <w:t>diminuzione</w:t>
      </w:r>
      <w:r w:rsidRPr="00264C06">
        <w:rPr>
          <w:rFonts w:cstheme="minorHAnsi"/>
        </w:rPr>
        <w:t xml:space="preserve"> delle scorte globali conseguenti ad </w:t>
      </w:r>
      <w:r w:rsidR="003B210B">
        <w:rPr>
          <w:rFonts w:cstheme="minorHAnsi"/>
        </w:rPr>
        <w:t xml:space="preserve">un livello della domanda superiore all’offerta. </w:t>
      </w:r>
    </w:p>
    <w:p w14:paraId="59B495F3" w14:textId="18DAEE57" w:rsidR="00264C06" w:rsidRPr="00E55CB7" w:rsidRDefault="00264C06" w:rsidP="00264C06">
      <w:pPr>
        <w:rPr>
          <w:sz w:val="20"/>
          <w:szCs w:val="20"/>
        </w:rPr>
      </w:pPr>
    </w:p>
    <w:p w14:paraId="32B091DB" w14:textId="51ED513C" w:rsidR="003B210B" w:rsidRPr="00E865DC" w:rsidRDefault="00E865DC" w:rsidP="003B210B">
      <w:pPr>
        <w:rPr>
          <w:sz w:val="20"/>
          <w:szCs w:val="20"/>
        </w:rPr>
      </w:pPr>
      <w:hyperlink r:id="rId7" w:history="1">
        <w:r w:rsidR="003B210B" w:rsidRPr="00E865DC">
          <w:rPr>
            <w:rStyle w:val="Collegamentoipertestuale"/>
            <w:sz w:val="20"/>
            <w:szCs w:val="20"/>
          </w:rPr>
          <w:t>L’inflazione alimentare in Italia: analis</w:t>
        </w:r>
        <w:r w:rsidR="003B210B" w:rsidRPr="00E865DC">
          <w:rPr>
            <w:rStyle w:val="Collegamentoipertestuale"/>
            <w:sz w:val="20"/>
            <w:szCs w:val="20"/>
          </w:rPr>
          <w:t>i</w:t>
        </w:r>
        <w:r w:rsidR="003B210B" w:rsidRPr="00E865DC">
          <w:rPr>
            <w:rStyle w:val="Collegamentoipertestuale"/>
            <w:sz w:val="20"/>
            <w:szCs w:val="20"/>
          </w:rPr>
          <w:t xml:space="preserve"> e previsioni</w:t>
        </w:r>
      </w:hyperlink>
    </w:p>
    <w:p w14:paraId="1481C687" w14:textId="35ECDE0C" w:rsidR="003B210B" w:rsidRPr="00E55CB7" w:rsidRDefault="00D811B3" w:rsidP="003B210B">
      <w:pPr>
        <w:rPr>
          <w:sz w:val="20"/>
          <w:szCs w:val="20"/>
        </w:rPr>
      </w:pPr>
      <w:hyperlink r:id="rId8" w:history="1">
        <w:r w:rsidR="003B210B" w:rsidRPr="00E55CB7">
          <w:rPr>
            <w:rStyle w:val="Collegamentoipertestuale"/>
            <w:sz w:val="20"/>
            <w:szCs w:val="20"/>
          </w:rPr>
          <w:t>I prezzi pagati dalle Centrali d</w:t>
        </w:r>
        <w:r w:rsidR="00B367A5" w:rsidRPr="00E55CB7">
          <w:rPr>
            <w:rStyle w:val="Collegamentoipertestuale"/>
            <w:sz w:val="20"/>
            <w:szCs w:val="20"/>
          </w:rPr>
          <w:t xml:space="preserve">i </w:t>
        </w:r>
        <w:r w:rsidR="003B210B" w:rsidRPr="00E55CB7">
          <w:rPr>
            <w:rStyle w:val="Collegamentoipertestuale"/>
            <w:sz w:val="20"/>
            <w:szCs w:val="20"/>
          </w:rPr>
          <w:t>acquisto della GDO</w:t>
        </w:r>
      </w:hyperlink>
    </w:p>
    <w:p w14:paraId="21F634E2" w14:textId="77777777" w:rsidR="003B210B" w:rsidRDefault="003B210B" w:rsidP="00264C06"/>
    <w:p w14:paraId="7FE97EBD" w14:textId="10D028D4" w:rsidR="00264C06" w:rsidRDefault="00264C06" w:rsidP="00264C06"/>
    <w:p w14:paraId="3BB01557" w14:textId="60EF5B17" w:rsidR="00264C06" w:rsidRDefault="003B210B" w:rsidP="00264C06">
      <w:r>
        <w:t>Nota</w:t>
      </w:r>
    </w:p>
    <w:p w14:paraId="547D577C" w14:textId="024199AA" w:rsidR="00CD091C" w:rsidRPr="003B210B" w:rsidRDefault="00264C06" w:rsidP="003B210B">
      <w:pPr>
        <w:jc w:val="both"/>
        <w:rPr>
          <w:i/>
          <w:iCs/>
        </w:rPr>
      </w:pPr>
      <w:r w:rsidRPr="00B82811">
        <w:rPr>
          <w:i/>
          <w:iCs/>
          <w:sz w:val="23"/>
          <w:szCs w:val="23"/>
        </w:rPr>
        <w:t>Unioncamere</w:t>
      </w:r>
      <w:r w:rsidR="00DF3C32">
        <w:rPr>
          <w:i/>
          <w:iCs/>
          <w:sz w:val="23"/>
          <w:szCs w:val="23"/>
        </w:rPr>
        <w:t xml:space="preserve"> </w:t>
      </w:r>
      <w:r w:rsidRPr="00B82811">
        <w:rPr>
          <w:i/>
          <w:iCs/>
          <w:sz w:val="23"/>
          <w:szCs w:val="23"/>
        </w:rPr>
        <w:t>con il supporto</w:t>
      </w:r>
      <w:r w:rsidR="00CB52FC">
        <w:rPr>
          <w:i/>
          <w:iCs/>
          <w:sz w:val="23"/>
          <w:szCs w:val="23"/>
        </w:rPr>
        <w:t xml:space="preserve"> di </w:t>
      </w:r>
      <w:r w:rsidR="00CB52FC">
        <w:rPr>
          <w:i/>
          <w:iCs/>
          <w:sz w:val="23"/>
          <w:szCs w:val="23"/>
        </w:rPr>
        <w:t>BMTI</w:t>
      </w:r>
      <w:r w:rsidRPr="00B82811">
        <w:rPr>
          <w:i/>
          <w:iCs/>
          <w:sz w:val="23"/>
          <w:szCs w:val="23"/>
        </w:rPr>
        <w:t xml:space="preserve"> </w:t>
      </w:r>
      <w:r w:rsidR="00CB52FC">
        <w:rPr>
          <w:i/>
          <w:iCs/>
          <w:sz w:val="23"/>
          <w:szCs w:val="23"/>
        </w:rPr>
        <w:t xml:space="preserve">e </w:t>
      </w:r>
      <w:r>
        <w:rPr>
          <w:i/>
          <w:iCs/>
          <w:sz w:val="23"/>
          <w:szCs w:val="23"/>
        </w:rPr>
        <w:t>REF Ricerche</w:t>
      </w:r>
      <w:r w:rsidRPr="00B82811">
        <w:rPr>
          <w:i/>
          <w:iCs/>
          <w:sz w:val="23"/>
          <w:szCs w:val="23"/>
        </w:rPr>
        <w:t>, svolge periodicamente una rilevazione sui prezzi d’acquisto pagati dalle centrali d’acquisto della Grande distribuzione all’industria alimentare. La rilevazione ha ad oggetto l’andamento mensile dei prezzi effettivamente pagati dalla distribuzione commerciale all’industria alimentare per l’acquisto di un paniere di circa 50 prodotti di largo e diffuso consumo.</w:t>
      </w:r>
    </w:p>
    <w:sectPr w:rsidR="00CD091C" w:rsidRPr="003B210B" w:rsidSect="00B07F35">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C24ED" w14:textId="77777777" w:rsidR="00D811B3" w:rsidRDefault="00D811B3" w:rsidP="00E44953">
      <w:pPr>
        <w:spacing w:after="0" w:line="240" w:lineRule="auto"/>
      </w:pPr>
      <w:r>
        <w:separator/>
      </w:r>
    </w:p>
  </w:endnote>
  <w:endnote w:type="continuationSeparator" w:id="0">
    <w:p w14:paraId="4EBFDB3D" w14:textId="77777777" w:rsidR="00D811B3" w:rsidRDefault="00D811B3" w:rsidP="00E44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CE544" w14:textId="77777777" w:rsidR="00D811B3" w:rsidRDefault="00D811B3" w:rsidP="00E44953">
      <w:pPr>
        <w:spacing w:after="0" w:line="240" w:lineRule="auto"/>
      </w:pPr>
      <w:r>
        <w:separator/>
      </w:r>
    </w:p>
  </w:footnote>
  <w:footnote w:type="continuationSeparator" w:id="0">
    <w:p w14:paraId="084AE357" w14:textId="77777777" w:rsidR="00D811B3" w:rsidRDefault="00D811B3" w:rsidP="00E44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0C985" w14:textId="0F84E2B7" w:rsidR="00E44953" w:rsidRDefault="009A1097">
    <w:pPr>
      <w:pStyle w:val="Intestazione"/>
    </w:pPr>
    <w:r>
      <w:rPr>
        <w:noProof/>
        <w:lang w:eastAsia="it-IT"/>
      </w:rPr>
      <w:drawing>
        <wp:anchor distT="0" distB="0" distL="114300" distR="114300" simplePos="0" relativeHeight="251663872" behindDoc="0" locked="0" layoutInCell="1" allowOverlap="1" wp14:anchorId="5EDD68DB" wp14:editId="6ADB5159">
          <wp:simplePos x="0" y="0"/>
          <wp:positionH relativeFrom="column">
            <wp:posOffset>-270510</wp:posOffset>
          </wp:positionH>
          <wp:positionV relativeFrom="paragraph">
            <wp:posOffset>-288925</wp:posOffset>
          </wp:positionV>
          <wp:extent cx="2319020" cy="575310"/>
          <wp:effectExtent l="0" t="0" r="5080" b="0"/>
          <wp:wrapNone/>
          <wp:docPr id="6257" name="Immagine 6">
            <a:extLst xmlns:a="http://schemas.openxmlformats.org/drawingml/2006/main">
              <a:ext uri="{FF2B5EF4-FFF2-40B4-BE49-F238E27FC236}">
                <a16:creationId xmlns:a16="http://schemas.microsoft.com/office/drawing/2014/main" id="{9BD8D514-073B-413C-937D-3DAB595204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7" name="Immagine 6">
                    <a:extLst>
                      <a:ext uri="{FF2B5EF4-FFF2-40B4-BE49-F238E27FC236}">
                        <a16:creationId xmlns:a16="http://schemas.microsoft.com/office/drawing/2014/main" id="{9BD8D514-073B-413C-937D-3DAB595204C8}"/>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9020" cy="575310"/>
                  </a:xfrm>
                  <a:prstGeom prst="rect">
                    <a:avLst/>
                  </a:prstGeom>
                  <a:noFill/>
                  <a:ln>
                    <a:noFill/>
                  </a:ln>
                </pic:spPr>
              </pic:pic>
            </a:graphicData>
          </a:graphic>
        </wp:anchor>
      </w:drawing>
    </w:r>
    <w:r>
      <w:rPr>
        <w:noProof/>
        <w:lang w:eastAsia="it-IT"/>
      </w:rPr>
      <w:drawing>
        <wp:anchor distT="0" distB="0" distL="114300" distR="114300" simplePos="0" relativeHeight="251657728" behindDoc="0" locked="0" layoutInCell="1" allowOverlap="1" wp14:anchorId="5140728D" wp14:editId="2081F498">
          <wp:simplePos x="0" y="0"/>
          <wp:positionH relativeFrom="column">
            <wp:posOffset>5066665</wp:posOffset>
          </wp:positionH>
          <wp:positionV relativeFrom="paragraph">
            <wp:posOffset>-200025</wp:posOffset>
          </wp:positionV>
          <wp:extent cx="1159613" cy="432000"/>
          <wp:effectExtent l="0" t="0" r="0" b="0"/>
          <wp:wrapNone/>
          <wp:docPr id="6258" name="Immagine 7">
            <a:extLst xmlns:a="http://schemas.openxmlformats.org/drawingml/2006/main">
              <a:ext uri="{FF2B5EF4-FFF2-40B4-BE49-F238E27FC236}">
                <a16:creationId xmlns:a16="http://schemas.microsoft.com/office/drawing/2014/main" id="{F3144258-1102-42C3-8DE9-4A3F044B7E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8" name="Immagine 7">
                    <a:extLst>
                      <a:ext uri="{FF2B5EF4-FFF2-40B4-BE49-F238E27FC236}">
                        <a16:creationId xmlns:a16="http://schemas.microsoft.com/office/drawing/2014/main" id="{F3144258-1102-42C3-8DE9-4A3F044B7E5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9613" cy="432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1339A"/>
    <w:multiLevelType w:val="hybridMultilevel"/>
    <w:tmpl w:val="D4E88A5C"/>
    <w:lvl w:ilvl="0" w:tplc="07E2E2BA">
      <w:numFmt w:val="bullet"/>
      <w:lvlText w:val=""/>
      <w:lvlJc w:val="left"/>
      <w:pPr>
        <w:ind w:left="760" w:hanging="360"/>
      </w:pPr>
      <w:rPr>
        <w:rFonts w:ascii="Symbol" w:eastAsia="Times New Roman" w:hAnsi="Symbol" w:cs="Courier New"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1" w15:restartNumberingAfterBreak="0">
    <w:nsid w:val="20C90700"/>
    <w:multiLevelType w:val="hybridMultilevel"/>
    <w:tmpl w:val="97FC3522"/>
    <w:lvl w:ilvl="0" w:tplc="07E2E2BA">
      <w:numFmt w:val="bullet"/>
      <w:lvlText w:val=""/>
      <w:lvlJc w:val="left"/>
      <w:pPr>
        <w:ind w:left="2520" w:hanging="360"/>
      </w:pPr>
      <w:rPr>
        <w:rFonts w:ascii="Symbol" w:eastAsia="Times New Roman" w:hAnsi="Symbol" w:cs="Courier New"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3102584E"/>
    <w:multiLevelType w:val="hybridMultilevel"/>
    <w:tmpl w:val="DE948D10"/>
    <w:lvl w:ilvl="0" w:tplc="07E2E2BA">
      <w:numFmt w:val="bullet"/>
      <w:lvlText w:val=""/>
      <w:lvlJc w:val="left"/>
      <w:pPr>
        <w:ind w:left="1800" w:hanging="360"/>
      </w:pPr>
      <w:rPr>
        <w:rFonts w:ascii="Symbol" w:eastAsia="Times New Roman" w:hAnsi="Symbol"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4A65BF0"/>
    <w:multiLevelType w:val="hybridMultilevel"/>
    <w:tmpl w:val="AD6ED1D0"/>
    <w:lvl w:ilvl="0" w:tplc="07E2E2BA">
      <w:numFmt w:val="bullet"/>
      <w:lvlText w:val=""/>
      <w:lvlJc w:val="left"/>
      <w:pPr>
        <w:ind w:left="2508" w:hanging="360"/>
      </w:pPr>
      <w:rPr>
        <w:rFonts w:ascii="Symbol" w:eastAsia="Times New Roman" w:hAnsi="Symbol" w:cs="Courier New" w:hint="default"/>
      </w:rPr>
    </w:lvl>
    <w:lvl w:ilvl="1" w:tplc="04100003">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44BF167C"/>
    <w:multiLevelType w:val="hybridMultilevel"/>
    <w:tmpl w:val="A490BAEC"/>
    <w:lvl w:ilvl="0" w:tplc="07E2E2BA">
      <w:numFmt w:val="bullet"/>
      <w:lvlText w:val=""/>
      <w:lvlJc w:val="left"/>
      <w:pPr>
        <w:ind w:left="2520" w:hanging="360"/>
      </w:pPr>
      <w:rPr>
        <w:rFonts w:ascii="Symbol" w:eastAsia="Times New Roman" w:hAnsi="Symbol" w:cs="Courier New" w:hint="default"/>
      </w:rPr>
    </w:lvl>
    <w:lvl w:ilvl="1" w:tplc="07E2E2BA">
      <w:numFmt w:val="bullet"/>
      <w:lvlText w:val=""/>
      <w:lvlJc w:val="left"/>
      <w:pPr>
        <w:ind w:left="2160" w:hanging="360"/>
      </w:pPr>
      <w:rPr>
        <w:rFonts w:ascii="Symbol" w:eastAsia="Times New Roman" w:hAnsi="Symbol"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541567EF"/>
    <w:multiLevelType w:val="hybridMultilevel"/>
    <w:tmpl w:val="AA6EE47A"/>
    <w:lvl w:ilvl="0" w:tplc="07E2E2BA">
      <w:numFmt w:val="bullet"/>
      <w:lvlText w:val=""/>
      <w:lvlJc w:val="left"/>
      <w:pPr>
        <w:ind w:left="2136" w:hanging="360"/>
      </w:pPr>
      <w:rPr>
        <w:rFonts w:ascii="Symbol" w:eastAsia="Times New Roman" w:hAnsi="Symbol" w:cs="Courier New"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6" w15:restartNumberingAfterBreak="0">
    <w:nsid w:val="5C090A7C"/>
    <w:multiLevelType w:val="hybridMultilevel"/>
    <w:tmpl w:val="C546BF4A"/>
    <w:lvl w:ilvl="0" w:tplc="07E2E2BA">
      <w:numFmt w:val="bullet"/>
      <w:lvlText w:val=""/>
      <w:lvlJc w:val="left"/>
      <w:pPr>
        <w:ind w:left="720" w:hanging="360"/>
      </w:pPr>
      <w:rPr>
        <w:rFonts w:ascii="Symbol" w:eastAsia="Times New Roman" w:hAnsi="Symbol"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BEA3323"/>
    <w:multiLevelType w:val="hybridMultilevel"/>
    <w:tmpl w:val="AD507938"/>
    <w:lvl w:ilvl="0" w:tplc="07E2E2BA">
      <w:numFmt w:val="bullet"/>
      <w:lvlText w:val=""/>
      <w:lvlJc w:val="left"/>
      <w:pPr>
        <w:ind w:left="1800" w:hanging="360"/>
      </w:pPr>
      <w:rPr>
        <w:rFonts w:ascii="Symbol" w:eastAsia="Times New Roman" w:hAnsi="Symbol" w:cs="Courier New"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8" w15:restartNumberingAfterBreak="0">
    <w:nsid w:val="701D5C79"/>
    <w:multiLevelType w:val="hybridMultilevel"/>
    <w:tmpl w:val="835C09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FE539F1"/>
    <w:multiLevelType w:val="hybridMultilevel"/>
    <w:tmpl w:val="47F6265A"/>
    <w:lvl w:ilvl="0" w:tplc="07E2E2BA">
      <w:numFmt w:val="bullet"/>
      <w:lvlText w:val=""/>
      <w:lvlJc w:val="left"/>
      <w:pPr>
        <w:ind w:left="2520" w:hanging="360"/>
      </w:pPr>
      <w:rPr>
        <w:rFonts w:ascii="Symbol" w:eastAsia="Times New Roman" w:hAnsi="Symbol" w:cs="Courier New"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3"/>
  </w:num>
  <w:num w:numId="4">
    <w:abstractNumId w:val="9"/>
  </w:num>
  <w:num w:numId="5">
    <w:abstractNumId w:val="1"/>
  </w:num>
  <w:num w:numId="6">
    <w:abstractNumId w:val="4"/>
  </w:num>
  <w:num w:numId="7">
    <w:abstractNumId w:val="0"/>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4953"/>
    <w:rsid w:val="000226CD"/>
    <w:rsid w:val="0003107F"/>
    <w:rsid w:val="00050567"/>
    <w:rsid w:val="000754BE"/>
    <w:rsid w:val="000A6736"/>
    <w:rsid w:val="000B4560"/>
    <w:rsid w:val="000B4BC2"/>
    <w:rsid w:val="000C2F59"/>
    <w:rsid w:val="000E08A9"/>
    <w:rsid w:val="00116103"/>
    <w:rsid w:val="0012608A"/>
    <w:rsid w:val="0012675E"/>
    <w:rsid w:val="00137F7C"/>
    <w:rsid w:val="00155E0A"/>
    <w:rsid w:val="00160C45"/>
    <w:rsid w:val="00166A9B"/>
    <w:rsid w:val="001D24A3"/>
    <w:rsid w:val="001F4A26"/>
    <w:rsid w:val="0025626C"/>
    <w:rsid w:val="00260E57"/>
    <w:rsid w:val="00264C06"/>
    <w:rsid w:val="0028229B"/>
    <w:rsid w:val="002E3C7E"/>
    <w:rsid w:val="00301EED"/>
    <w:rsid w:val="00341706"/>
    <w:rsid w:val="00350381"/>
    <w:rsid w:val="003539B7"/>
    <w:rsid w:val="00354072"/>
    <w:rsid w:val="003739B5"/>
    <w:rsid w:val="003B210B"/>
    <w:rsid w:val="003C5BCF"/>
    <w:rsid w:val="00400D00"/>
    <w:rsid w:val="0040269E"/>
    <w:rsid w:val="004067BD"/>
    <w:rsid w:val="0040765A"/>
    <w:rsid w:val="0045168A"/>
    <w:rsid w:val="0046015B"/>
    <w:rsid w:val="00471517"/>
    <w:rsid w:val="00496E8E"/>
    <w:rsid w:val="00506EAC"/>
    <w:rsid w:val="00534538"/>
    <w:rsid w:val="005532C4"/>
    <w:rsid w:val="00571A70"/>
    <w:rsid w:val="005724DC"/>
    <w:rsid w:val="00572947"/>
    <w:rsid w:val="00591938"/>
    <w:rsid w:val="005E6E3E"/>
    <w:rsid w:val="00624CA9"/>
    <w:rsid w:val="006477B9"/>
    <w:rsid w:val="00653BBD"/>
    <w:rsid w:val="00687189"/>
    <w:rsid w:val="006C1BCA"/>
    <w:rsid w:val="006F15BB"/>
    <w:rsid w:val="00704227"/>
    <w:rsid w:val="00704E82"/>
    <w:rsid w:val="00716D6D"/>
    <w:rsid w:val="007373EB"/>
    <w:rsid w:val="00755B35"/>
    <w:rsid w:val="00755B76"/>
    <w:rsid w:val="00785486"/>
    <w:rsid w:val="007C267B"/>
    <w:rsid w:val="007C388A"/>
    <w:rsid w:val="008624B1"/>
    <w:rsid w:val="00892A29"/>
    <w:rsid w:val="008934B4"/>
    <w:rsid w:val="008A272F"/>
    <w:rsid w:val="008E5382"/>
    <w:rsid w:val="00907D33"/>
    <w:rsid w:val="009A1097"/>
    <w:rsid w:val="009A43DB"/>
    <w:rsid w:val="009A485E"/>
    <w:rsid w:val="009A6B38"/>
    <w:rsid w:val="009F6586"/>
    <w:rsid w:val="00A33874"/>
    <w:rsid w:val="00A37EF8"/>
    <w:rsid w:val="00A60445"/>
    <w:rsid w:val="00A8133C"/>
    <w:rsid w:val="00A829B9"/>
    <w:rsid w:val="00AA5E7B"/>
    <w:rsid w:val="00AB05FA"/>
    <w:rsid w:val="00AB0971"/>
    <w:rsid w:val="00AC6184"/>
    <w:rsid w:val="00B07F35"/>
    <w:rsid w:val="00B242A3"/>
    <w:rsid w:val="00B367A5"/>
    <w:rsid w:val="00B43DDE"/>
    <w:rsid w:val="00B85257"/>
    <w:rsid w:val="00B90DBB"/>
    <w:rsid w:val="00BD2A7B"/>
    <w:rsid w:val="00BD4F20"/>
    <w:rsid w:val="00C00C5C"/>
    <w:rsid w:val="00C13050"/>
    <w:rsid w:val="00C27CCA"/>
    <w:rsid w:val="00C40E04"/>
    <w:rsid w:val="00CA1EDC"/>
    <w:rsid w:val="00CB0A1A"/>
    <w:rsid w:val="00CB52FC"/>
    <w:rsid w:val="00CC35A5"/>
    <w:rsid w:val="00CD091C"/>
    <w:rsid w:val="00D24E5C"/>
    <w:rsid w:val="00D32A74"/>
    <w:rsid w:val="00D42913"/>
    <w:rsid w:val="00D56E46"/>
    <w:rsid w:val="00D73E5C"/>
    <w:rsid w:val="00D811B3"/>
    <w:rsid w:val="00D81F21"/>
    <w:rsid w:val="00D91158"/>
    <w:rsid w:val="00D9177D"/>
    <w:rsid w:val="00D920CC"/>
    <w:rsid w:val="00D92C67"/>
    <w:rsid w:val="00D95C56"/>
    <w:rsid w:val="00DB6C35"/>
    <w:rsid w:val="00DF3C32"/>
    <w:rsid w:val="00DF4374"/>
    <w:rsid w:val="00E05B3E"/>
    <w:rsid w:val="00E44953"/>
    <w:rsid w:val="00E55CB7"/>
    <w:rsid w:val="00E82C07"/>
    <w:rsid w:val="00E865DC"/>
    <w:rsid w:val="00EA6B5A"/>
    <w:rsid w:val="00EB15EA"/>
    <w:rsid w:val="00EC09DE"/>
    <w:rsid w:val="00EE3C68"/>
    <w:rsid w:val="00F2584D"/>
    <w:rsid w:val="00F42E1F"/>
    <w:rsid w:val="00F53009"/>
    <w:rsid w:val="00F5684B"/>
    <w:rsid w:val="00F64035"/>
    <w:rsid w:val="00F6753B"/>
    <w:rsid w:val="00FA2815"/>
    <w:rsid w:val="00FD1070"/>
    <w:rsid w:val="00FE4F58"/>
    <w:rsid w:val="00FE7B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D3030"/>
  <w15:docId w15:val="{7285EAEC-8E2F-43EA-919A-02471B46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7F3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4495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44953"/>
  </w:style>
  <w:style w:type="paragraph" w:styleId="Pidipagina">
    <w:name w:val="footer"/>
    <w:basedOn w:val="Normale"/>
    <w:link w:val="PidipaginaCarattere"/>
    <w:uiPriority w:val="99"/>
    <w:unhideWhenUsed/>
    <w:rsid w:val="00E4495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4953"/>
  </w:style>
  <w:style w:type="paragraph" w:styleId="NormaleWeb">
    <w:name w:val="Normal (Web)"/>
    <w:basedOn w:val="Normale"/>
    <w:uiPriority w:val="99"/>
    <w:unhideWhenUsed/>
    <w:rsid w:val="00E4495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F42E1F"/>
    <w:pPr>
      <w:ind w:left="720"/>
      <w:contextualSpacing/>
    </w:pPr>
  </w:style>
  <w:style w:type="character" w:styleId="Collegamentoipertestuale">
    <w:name w:val="Hyperlink"/>
    <w:basedOn w:val="Carpredefinitoparagrafo"/>
    <w:uiPriority w:val="99"/>
    <w:unhideWhenUsed/>
    <w:rsid w:val="00AB05FA"/>
    <w:rPr>
      <w:color w:val="0000FF" w:themeColor="hyperlink"/>
      <w:u w:val="single"/>
    </w:rPr>
  </w:style>
  <w:style w:type="character" w:styleId="Menzionenonrisolta">
    <w:name w:val="Unresolved Mention"/>
    <w:basedOn w:val="Carpredefinitoparagrafo"/>
    <w:uiPriority w:val="99"/>
    <w:semiHidden/>
    <w:unhideWhenUsed/>
    <w:rsid w:val="00E55CB7"/>
    <w:rPr>
      <w:color w:val="605E5C"/>
      <w:shd w:val="clear" w:color="auto" w:fill="E1DFDD"/>
    </w:rPr>
  </w:style>
  <w:style w:type="character" w:styleId="Collegamentovisitato">
    <w:name w:val="FollowedHyperlink"/>
    <w:basedOn w:val="Carpredefinitoparagrafo"/>
    <w:uiPriority w:val="99"/>
    <w:semiHidden/>
    <w:unhideWhenUsed/>
    <w:rsid w:val="00E865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482813">
      <w:bodyDiv w:val="1"/>
      <w:marLeft w:val="0"/>
      <w:marRight w:val="0"/>
      <w:marTop w:val="0"/>
      <w:marBottom w:val="0"/>
      <w:divBdr>
        <w:top w:val="none" w:sz="0" w:space="0" w:color="auto"/>
        <w:left w:val="none" w:sz="0" w:space="0" w:color="auto"/>
        <w:bottom w:val="none" w:sz="0" w:space="0" w:color="auto"/>
        <w:right w:val="none" w:sz="0" w:space="0" w:color="auto"/>
      </w:divBdr>
    </w:div>
    <w:div w:id="202670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ti.it/wp-content/uploads/2021/11/I-prezzi-pagati-dalle-Centrali-dacquisto-della-GDO.pdf" TargetMode="External"/><Relationship Id="rId3" Type="http://schemas.openxmlformats.org/officeDocument/2006/relationships/settings" Target="settings.xml"/><Relationship Id="rId7" Type="http://schemas.openxmlformats.org/officeDocument/2006/relationships/hyperlink" Target="https://www.bmti.it/wp-content/uploads/2021/11/Inflazione-alimentare-ott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398</Words>
  <Characters>2274</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Piazza</dc:creator>
  <cp:lastModifiedBy>Antonella Oliverio</cp:lastModifiedBy>
  <cp:revision>44</cp:revision>
  <dcterms:created xsi:type="dcterms:W3CDTF">2020-11-03T13:43:00Z</dcterms:created>
  <dcterms:modified xsi:type="dcterms:W3CDTF">2021-11-17T09:51:00Z</dcterms:modified>
</cp:coreProperties>
</file>