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797"/>
      </w:tblGrid>
      <w:tr w:rsidR="00640AB5" w14:paraId="672A6659" w14:textId="77777777" w:rsidTr="40DEA615">
        <w:tc>
          <w:tcPr>
            <w:tcW w:w="4889" w:type="dxa"/>
            <w:vAlign w:val="center"/>
          </w:tcPr>
          <w:p w14:paraId="0A37501D" w14:textId="77777777" w:rsidR="00640AB5" w:rsidRDefault="00640AB5" w:rsidP="00640AB5">
            <w:pPr>
              <w:rPr>
                <w:b/>
                <w:sz w:val="32"/>
              </w:rPr>
            </w:pPr>
            <w:r>
              <w:rPr>
                <w:noProof/>
                <w:lang w:eastAsia="it-IT"/>
              </w:rPr>
              <w:drawing>
                <wp:inline distT="0" distB="0" distL="0" distR="0" wp14:anchorId="53A57BFB" wp14:editId="25915169">
                  <wp:extent cx="2076450" cy="438361"/>
                  <wp:effectExtent l="0" t="0" r="0" b="0"/>
                  <wp:docPr id="108833333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ic:nvPicPr>
                        <pic:blipFill>
                          <a:blip r:embed="rId7">
                            <a:extLst>
                              <a:ext uri="{28A0092B-C50C-407E-A947-70E740481C1C}">
                                <a14:useLocalDpi xmlns:a14="http://schemas.microsoft.com/office/drawing/2010/main" val="0"/>
                              </a:ext>
                            </a:extLst>
                          </a:blip>
                          <a:stretch>
                            <a:fillRect/>
                          </a:stretch>
                        </pic:blipFill>
                        <pic:spPr>
                          <a:xfrm>
                            <a:off x="0" y="0"/>
                            <a:ext cx="2076450" cy="438361"/>
                          </a:xfrm>
                          <a:prstGeom prst="rect">
                            <a:avLst/>
                          </a:prstGeom>
                        </pic:spPr>
                      </pic:pic>
                    </a:graphicData>
                  </a:graphic>
                </wp:inline>
              </w:drawing>
            </w:r>
          </w:p>
        </w:tc>
        <w:tc>
          <w:tcPr>
            <w:tcW w:w="4889" w:type="dxa"/>
            <w:vAlign w:val="center"/>
          </w:tcPr>
          <w:p w14:paraId="5DAB6C7B" w14:textId="77777777" w:rsidR="00640AB5" w:rsidRDefault="00640AB5" w:rsidP="00640AB5">
            <w:pPr>
              <w:jc w:val="right"/>
              <w:rPr>
                <w:b/>
                <w:sz w:val="32"/>
              </w:rPr>
            </w:pPr>
            <w:r>
              <w:rPr>
                <w:noProof/>
                <w:lang w:eastAsia="it-IT"/>
              </w:rPr>
              <w:drawing>
                <wp:inline distT="0" distB="0" distL="0" distR="0" wp14:anchorId="19E8CD69" wp14:editId="69F73DCD">
                  <wp:extent cx="1238250" cy="1238250"/>
                  <wp:effectExtent l="0" t="0" r="0" b="0"/>
                  <wp:docPr id="969928432" name="Immagine 4" descr="Risultato immagini per logo ministero del lavor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pic:nvPicPr>
                        <pic:blipFill>
                          <a:blip r:embed="rId8">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tc>
      </w:tr>
    </w:tbl>
    <w:p w14:paraId="02EB378F" w14:textId="77777777" w:rsidR="002331E8" w:rsidRDefault="002331E8">
      <w:pPr>
        <w:rPr>
          <w:b/>
          <w:sz w:val="32"/>
        </w:rPr>
      </w:pPr>
    </w:p>
    <w:p w14:paraId="6C16C9DA" w14:textId="77777777" w:rsidR="002331E8" w:rsidRDefault="00283E6C">
      <w:pPr>
        <w:rPr>
          <w:b/>
          <w:sz w:val="32"/>
        </w:rPr>
      </w:pPr>
      <w:r>
        <w:rPr>
          <w:b/>
          <w:sz w:val="32"/>
        </w:rPr>
        <w:t>Comunicato stampa</w:t>
      </w:r>
    </w:p>
    <w:p w14:paraId="75FC5926" w14:textId="02D148E8" w:rsidR="00CF5811" w:rsidRDefault="00CF5811" w:rsidP="00DA6CDB">
      <w:pPr>
        <w:jc w:val="both"/>
        <w:rPr>
          <w:b/>
          <w:sz w:val="36"/>
          <w:szCs w:val="36"/>
        </w:rPr>
      </w:pPr>
      <w:r>
        <w:rPr>
          <w:b/>
          <w:sz w:val="36"/>
          <w:szCs w:val="36"/>
        </w:rPr>
        <w:t>Da Ministero del Lavoro e Unioncamere nuovi strumenti per conoscere l’impre</w:t>
      </w:r>
      <w:r w:rsidR="00BD2169">
        <w:rPr>
          <w:b/>
          <w:sz w:val="36"/>
          <w:szCs w:val="36"/>
        </w:rPr>
        <w:t>nditoria migrante</w:t>
      </w:r>
    </w:p>
    <w:p w14:paraId="7369E9E5" w14:textId="009F12D4" w:rsidR="00CF5811" w:rsidRPr="00C663A7" w:rsidRDefault="00495064" w:rsidP="00DA6CDB">
      <w:pPr>
        <w:jc w:val="both"/>
        <w:rPr>
          <w:b/>
          <w:sz w:val="24"/>
          <w:szCs w:val="24"/>
        </w:rPr>
      </w:pPr>
      <w:r>
        <w:rPr>
          <w:b/>
          <w:sz w:val="24"/>
          <w:szCs w:val="24"/>
        </w:rPr>
        <w:t>Il rapporto dell</w:t>
      </w:r>
      <w:r w:rsidR="00E43391">
        <w:rPr>
          <w:b/>
          <w:sz w:val="24"/>
          <w:szCs w:val="24"/>
        </w:rPr>
        <w:t>’</w:t>
      </w:r>
      <w:r w:rsidR="00B24703" w:rsidRPr="00B24703">
        <w:rPr>
          <w:b/>
          <w:sz w:val="24"/>
          <w:szCs w:val="24"/>
        </w:rPr>
        <w:t>Osservatorio sull’inclusione</w:t>
      </w:r>
      <w:r w:rsidR="00C2714E">
        <w:rPr>
          <w:b/>
          <w:sz w:val="24"/>
          <w:szCs w:val="24"/>
        </w:rPr>
        <w:t xml:space="preserve"> </w:t>
      </w:r>
      <w:proofErr w:type="gramStart"/>
      <w:r w:rsidR="00C2714E">
        <w:rPr>
          <w:b/>
          <w:sz w:val="24"/>
          <w:szCs w:val="24"/>
        </w:rPr>
        <w:t>socio-</w:t>
      </w:r>
      <w:r w:rsidR="00B24703" w:rsidRPr="00B24703">
        <w:rPr>
          <w:b/>
          <w:sz w:val="24"/>
          <w:szCs w:val="24"/>
        </w:rPr>
        <w:t>economica</w:t>
      </w:r>
      <w:proofErr w:type="gramEnd"/>
      <w:r w:rsidR="00C2714E">
        <w:rPr>
          <w:b/>
          <w:sz w:val="24"/>
          <w:szCs w:val="24"/>
        </w:rPr>
        <w:t xml:space="preserve"> e </w:t>
      </w:r>
      <w:r w:rsidR="00B24703" w:rsidRPr="00B24703">
        <w:rPr>
          <w:b/>
          <w:sz w:val="24"/>
          <w:szCs w:val="24"/>
        </w:rPr>
        <w:t xml:space="preserve">finanziaria </w:t>
      </w:r>
      <w:r w:rsidR="005F45A7">
        <w:rPr>
          <w:b/>
          <w:sz w:val="24"/>
          <w:szCs w:val="24"/>
        </w:rPr>
        <w:t xml:space="preserve">e </w:t>
      </w:r>
      <w:r w:rsidR="00657740">
        <w:rPr>
          <w:b/>
          <w:sz w:val="24"/>
          <w:szCs w:val="24"/>
        </w:rPr>
        <w:t>l</w:t>
      </w:r>
      <w:r w:rsidR="005F45A7">
        <w:rPr>
          <w:b/>
          <w:sz w:val="24"/>
          <w:szCs w:val="24"/>
        </w:rPr>
        <w:t xml:space="preserve">a dashboard </w:t>
      </w:r>
      <w:r w:rsidR="00720D80">
        <w:rPr>
          <w:b/>
          <w:sz w:val="24"/>
          <w:szCs w:val="24"/>
        </w:rPr>
        <w:t>interattiva</w:t>
      </w:r>
      <w:r w:rsidR="00657740">
        <w:rPr>
          <w:b/>
          <w:sz w:val="24"/>
          <w:szCs w:val="24"/>
        </w:rPr>
        <w:t xml:space="preserve"> del </w:t>
      </w:r>
      <w:r w:rsidR="00657740" w:rsidRPr="00657740">
        <w:rPr>
          <w:b/>
          <w:sz w:val="24"/>
          <w:szCs w:val="24"/>
        </w:rPr>
        <w:t xml:space="preserve">Progetto </w:t>
      </w:r>
      <w:proofErr w:type="spellStart"/>
      <w:r w:rsidR="00657740" w:rsidRPr="00657740">
        <w:rPr>
          <w:b/>
          <w:sz w:val="24"/>
          <w:szCs w:val="24"/>
        </w:rPr>
        <w:t>Futurae</w:t>
      </w:r>
      <w:proofErr w:type="spellEnd"/>
      <w:r w:rsidR="00657740">
        <w:rPr>
          <w:b/>
          <w:sz w:val="24"/>
          <w:szCs w:val="24"/>
        </w:rPr>
        <w:t>.</w:t>
      </w:r>
      <w:r w:rsidR="005F45A7">
        <w:rPr>
          <w:b/>
          <w:sz w:val="24"/>
          <w:szCs w:val="24"/>
        </w:rPr>
        <w:t xml:space="preserve"> </w:t>
      </w:r>
      <w:r w:rsidR="007451AD">
        <w:rPr>
          <w:b/>
          <w:sz w:val="24"/>
          <w:szCs w:val="24"/>
        </w:rPr>
        <w:t xml:space="preserve">644mila imprese di migranti </w:t>
      </w:r>
      <w:r w:rsidR="00B24703">
        <w:rPr>
          <w:b/>
          <w:sz w:val="24"/>
          <w:szCs w:val="24"/>
        </w:rPr>
        <w:t>in Italia</w:t>
      </w:r>
    </w:p>
    <w:p w14:paraId="648D54DD" w14:textId="77777777" w:rsidR="009619DC" w:rsidRDefault="009619DC" w:rsidP="00716561">
      <w:pPr>
        <w:spacing w:after="0" w:line="240" w:lineRule="auto"/>
        <w:jc w:val="both"/>
        <w:rPr>
          <w:b/>
        </w:rPr>
      </w:pPr>
    </w:p>
    <w:p w14:paraId="6EB12717" w14:textId="04FD8151" w:rsidR="006263C4" w:rsidRDefault="00BC09F6" w:rsidP="001838D1">
      <w:pPr>
        <w:jc w:val="both"/>
      </w:pPr>
      <w:r w:rsidRPr="00F74ED4">
        <w:rPr>
          <w:rFonts w:ascii="Calibri" w:hAnsi="Calibri"/>
        </w:rPr>
        <w:t xml:space="preserve">Roma - </w:t>
      </w:r>
      <w:r w:rsidR="0055524B">
        <w:rPr>
          <w:rFonts w:ascii="Calibri" w:hAnsi="Calibri"/>
        </w:rPr>
        <w:t>10</w:t>
      </w:r>
      <w:r w:rsidR="00BD0D6C" w:rsidRPr="00F74ED4">
        <w:rPr>
          <w:rFonts w:ascii="Calibri" w:hAnsi="Calibri"/>
        </w:rPr>
        <w:t xml:space="preserve"> </w:t>
      </w:r>
      <w:r w:rsidR="00CA17C3" w:rsidRPr="00F74ED4">
        <w:rPr>
          <w:rFonts w:ascii="Calibri" w:hAnsi="Calibri"/>
        </w:rPr>
        <w:t>dicembre</w:t>
      </w:r>
      <w:r w:rsidRPr="00F74ED4">
        <w:rPr>
          <w:rFonts w:ascii="Calibri" w:hAnsi="Calibri"/>
        </w:rPr>
        <w:t xml:space="preserve"> </w:t>
      </w:r>
      <w:r w:rsidR="00207620">
        <w:rPr>
          <w:rFonts w:ascii="Calibri" w:hAnsi="Calibri"/>
        </w:rPr>
        <w:t xml:space="preserve">2021 </w:t>
      </w:r>
      <w:r w:rsidRPr="00F74ED4">
        <w:rPr>
          <w:rFonts w:ascii="Calibri" w:hAnsi="Calibri"/>
        </w:rPr>
        <w:t xml:space="preserve">– </w:t>
      </w:r>
      <w:r w:rsidR="00776362">
        <w:rPr>
          <w:rFonts w:ascii="Calibri" w:hAnsi="Calibri"/>
        </w:rPr>
        <w:t xml:space="preserve">Sono online da oggi sul Portale Integrazione Migranti Integrazionemigranti.gov.it </w:t>
      </w:r>
      <w:r w:rsidR="0055524B">
        <w:rPr>
          <w:rFonts w:ascii="Calibri" w:hAnsi="Calibri"/>
        </w:rPr>
        <w:t>e sul sito di Unioncamere (</w:t>
      </w:r>
      <w:hyperlink r:id="rId9" w:history="1">
        <w:r w:rsidR="0055524B" w:rsidRPr="00636EE4">
          <w:rPr>
            <w:rStyle w:val="Collegamentoipertestuale"/>
            <w:rFonts w:ascii="Calibri" w:hAnsi="Calibri"/>
          </w:rPr>
          <w:t>www.unioncamere.gov.it</w:t>
        </w:r>
      </w:hyperlink>
      <w:r w:rsidR="0055524B">
        <w:rPr>
          <w:rFonts w:ascii="Calibri" w:hAnsi="Calibri"/>
        </w:rPr>
        <w:t xml:space="preserve">) </w:t>
      </w:r>
      <w:r w:rsidR="006C24EA">
        <w:rPr>
          <w:rFonts w:ascii="Calibri" w:hAnsi="Calibri"/>
        </w:rPr>
        <w:t>un</w:t>
      </w:r>
      <w:r w:rsidR="00776362">
        <w:rPr>
          <w:rFonts w:ascii="Calibri" w:hAnsi="Calibri"/>
        </w:rPr>
        <w:t xml:space="preserve"> </w:t>
      </w:r>
      <w:r w:rsidR="00091379">
        <w:rPr>
          <w:rFonts w:ascii="Calibri" w:hAnsi="Calibri"/>
        </w:rPr>
        <w:t>rapporto</w:t>
      </w:r>
      <w:r w:rsidR="006C24EA">
        <w:rPr>
          <w:rFonts w:ascii="Calibri" w:hAnsi="Calibri"/>
        </w:rPr>
        <w:t xml:space="preserve"> </w:t>
      </w:r>
      <w:r w:rsidR="006C24EA" w:rsidRPr="0055524B">
        <w:rPr>
          <w:rFonts w:ascii="Calibri" w:hAnsi="Calibri"/>
        </w:rPr>
        <w:t>dell’</w:t>
      </w:r>
      <w:r w:rsidR="00B24703" w:rsidRPr="0055524B">
        <w:rPr>
          <w:rFonts w:ascii="Calibri" w:hAnsi="Calibri"/>
          <w:b/>
          <w:bCs/>
        </w:rPr>
        <w:t xml:space="preserve">Osservatorio </w:t>
      </w:r>
      <w:r w:rsidR="005879A3" w:rsidRPr="0055524B">
        <w:rPr>
          <w:rFonts w:ascii="Calibri" w:hAnsi="Calibri"/>
          <w:b/>
          <w:bCs/>
        </w:rPr>
        <w:t xml:space="preserve">sull’inclusione </w:t>
      </w:r>
      <w:proofErr w:type="gramStart"/>
      <w:r w:rsidR="00C2714E" w:rsidRPr="0055524B">
        <w:rPr>
          <w:rFonts w:ascii="Calibri" w:hAnsi="Calibri"/>
          <w:b/>
          <w:bCs/>
        </w:rPr>
        <w:t>socio-e</w:t>
      </w:r>
      <w:r w:rsidR="005879A3" w:rsidRPr="0055524B">
        <w:rPr>
          <w:rFonts w:ascii="Calibri" w:hAnsi="Calibri"/>
          <w:b/>
          <w:bCs/>
        </w:rPr>
        <w:t>conomica</w:t>
      </w:r>
      <w:proofErr w:type="gramEnd"/>
      <w:r w:rsidR="00C2714E" w:rsidRPr="0055524B">
        <w:rPr>
          <w:rFonts w:ascii="Calibri" w:hAnsi="Calibri"/>
          <w:b/>
          <w:bCs/>
        </w:rPr>
        <w:t xml:space="preserve"> e </w:t>
      </w:r>
      <w:r w:rsidR="005879A3" w:rsidRPr="0055524B">
        <w:rPr>
          <w:rFonts w:ascii="Calibri" w:hAnsi="Calibri"/>
          <w:b/>
          <w:bCs/>
        </w:rPr>
        <w:t>finanziaria</w:t>
      </w:r>
      <w:r w:rsidR="005879A3" w:rsidRPr="0055524B">
        <w:rPr>
          <w:rFonts w:ascii="Calibri" w:hAnsi="Calibri"/>
        </w:rPr>
        <w:t xml:space="preserve"> </w:t>
      </w:r>
      <w:r w:rsidR="00720D80" w:rsidRPr="0055524B">
        <w:rPr>
          <w:rFonts w:ascii="Calibri" w:hAnsi="Calibri"/>
        </w:rPr>
        <w:t xml:space="preserve">e una </w:t>
      </w:r>
      <w:r w:rsidR="00720D80" w:rsidRPr="0055524B">
        <w:rPr>
          <w:rFonts w:ascii="Calibri" w:hAnsi="Calibri"/>
          <w:b/>
          <w:bCs/>
        </w:rPr>
        <w:t>dashboard interattiva</w:t>
      </w:r>
      <w:r w:rsidR="00720D80" w:rsidRPr="0055524B">
        <w:rPr>
          <w:rFonts w:ascii="Calibri" w:hAnsi="Calibri"/>
        </w:rPr>
        <w:t xml:space="preserve"> sulle </w:t>
      </w:r>
      <w:r w:rsidR="00720D80" w:rsidRPr="0055524B">
        <w:rPr>
          <w:rFonts w:ascii="Calibri" w:hAnsi="Calibri"/>
          <w:b/>
          <w:bCs/>
        </w:rPr>
        <w:t xml:space="preserve">imprese </w:t>
      </w:r>
      <w:r w:rsidR="00A73BCA" w:rsidRPr="0055524B">
        <w:rPr>
          <w:rFonts w:ascii="Calibri" w:hAnsi="Calibri"/>
          <w:b/>
          <w:bCs/>
        </w:rPr>
        <w:t xml:space="preserve">dei </w:t>
      </w:r>
      <w:r w:rsidR="00720D80" w:rsidRPr="0055524B">
        <w:rPr>
          <w:rFonts w:ascii="Calibri" w:hAnsi="Calibri"/>
          <w:b/>
          <w:bCs/>
        </w:rPr>
        <w:t>migranti</w:t>
      </w:r>
      <w:r w:rsidR="005879A3" w:rsidRPr="0055524B">
        <w:rPr>
          <w:rFonts w:ascii="Calibri" w:hAnsi="Calibri"/>
        </w:rPr>
        <w:t xml:space="preserve">. </w:t>
      </w:r>
      <w:r w:rsidR="00570FD2" w:rsidRPr="0055524B">
        <w:rPr>
          <w:rFonts w:ascii="Calibri" w:hAnsi="Calibri"/>
        </w:rPr>
        <w:t>I n</w:t>
      </w:r>
      <w:r w:rsidR="006A1F43" w:rsidRPr="0055524B">
        <w:rPr>
          <w:rFonts w:ascii="Calibri" w:hAnsi="Calibri"/>
        </w:rPr>
        <w:t>uovi</w:t>
      </w:r>
      <w:r w:rsidR="00C2714E" w:rsidRPr="0055524B">
        <w:rPr>
          <w:rFonts w:ascii="Calibri" w:hAnsi="Calibri"/>
        </w:rPr>
        <w:t xml:space="preserve"> strumenti</w:t>
      </w:r>
      <w:r w:rsidR="00F275D0" w:rsidRPr="0055524B">
        <w:rPr>
          <w:rFonts w:ascii="Calibri" w:hAnsi="Calibri"/>
        </w:rPr>
        <w:t xml:space="preserve"> di conoscenza</w:t>
      </w:r>
      <w:r w:rsidR="00570FD2" w:rsidRPr="0055524B">
        <w:rPr>
          <w:rFonts w:ascii="Calibri" w:hAnsi="Calibri"/>
        </w:rPr>
        <w:t xml:space="preserve"> sono stati</w:t>
      </w:r>
      <w:r w:rsidR="0053508B" w:rsidRPr="0055524B">
        <w:rPr>
          <w:rFonts w:ascii="Calibri" w:hAnsi="Calibri"/>
        </w:rPr>
        <w:t xml:space="preserve"> </w:t>
      </w:r>
      <w:r w:rsidR="00CB603F" w:rsidRPr="0055524B">
        <w:rPr>
          <w:rFonts w:ascii="Calibri" w:hAnsi="Calibri"/>
        </w:rPr>
        <w:t>realizzati nell’ambito d</w:t>
      </w:r>
      <w:r w:rsidR="00432B64" w:rsidRPr="0055524B">
        <w:rPr>
          <w:rFonts w:ascii="Calibri" w:hAnsi="Calibri"/>
        </w:rPr>
        <w:t xml:space="preserve">el </w:t>
      </w:r>
      <w:r w:rsidR="00432B64" w:rsidRPr="0055524B">
        <w:rPr>
          <w:rFonts w:ascii="Calibri" w:hAnsi="Calibri"/>
          <w:b/>
          <w:bCs/>
        </w:rPr>
        <w:t>progetto</w:t>
      </w:r>
      <w:r w:rsidR="00640D70" w:rsidRPr="0055524B">
        <w:rPr>
          <w:rFonts w:ascii="Calibri" w:hAnsi="Calibri"/>
          <w:b/>
          <w:bCs/>
        </w:rPr>
        <w:t xml:space="preserve"> </w:t>
      </w:r>
      <w:proofErr w:type="spellStart"/>
      <w:r w:rsidR="00CB603F" w:rsidRPr="0055524B">
        <w:rPr>
          <w:rFonts w:ascii="Calibri" w:hAnsi="Calibri"/>
          <w:b/>
          <w:bCs/>
          <w:i/>
          <w:iCs/>
        </w:rPr>
        <w:t>Futurae</w:t>
      </w:r>
      <w:proofErr w:type="spellEnd"/>
      <w:r w:rsidR="00CB3884" w:rsidRPr="0055524B">
        <w:rPr>
          <w:rFonts w:ascii="Calibri" w:hAnsi="Calibri"/>
        </w:rPr>
        <w:t>,</w:t>
      </w:r>
      <w:r w:rsidR="00CB603F" w:rsidRPr="0055524B">
        <w:rPr>
          <w:rFonts w:ascii="Calibri" w:hAnsi="Calibri"/>
        </w:rPr>
        <w:t xml:space="preserve"> nato dalla collaborazione tra il Ministero del Lavoro e delle Politiche Sociali e Unioncamere</w:t>
      </w:r>
      <w:r w:rsidR="001838D1" w:rsidRPr="0055524B">
        <w:rPr>
          <w:rFonts w:ascii="Calibri" w:hAnsi="Calibri"/>
        </w:rPr>
        <w:t xml:space="preserve"> e f</w:t>
      </w:r>
      <w:r w:rsidR="00640D70" w:rsidRPr="0055524B">
        <w:rPr>
          <w:rFonts w:ascii="Calibri" w:hAnsi="Calibri"/>
        </w:rPr>
        <w:t>inanziato dal Fondo Nazionale Politiche Migratori</w:t>
      </w:r>
      <w:r w:rsidR="00F53655" w:rsidRPr="0055524B">
        <w:rPr>
          <w:rFonts w:ascii="Calibri" w:hAnsi="Calibri"/>
        </w:rPr>
        <w:t>e</w:t>
      </w:r>
      <w:r w:rsidR="0019783B" w:rsidRPr="0055524B">
        <w:rPr>
          <w:rFonts w:ascii="Calibri" w:hAnsi="Calibri"/>
        </w:rPr>
        <w:t>.</w:t>
      </w:r>
    </w:p>
    <w:p w14:paraId="30235314" w14:textId="0155C1FC" w:rsidR="007B4704" w:rsidRPr="00864056" w:rsidRDefault="00A736D6" w:rsidP="00A736D6">
      <w:pPr>
        <w:spacing w:after="0" w:line="240" w:lineRule="auto"/>
        <w:jc w:val="both"/>
      </w:pPr>
      <w:r w:rsidRPr="00864056">
        <w:t>“</w:t>
      </w:r>
      <w:r w:rsidRPr="001405F7">
        <w:rPr>
          <w:b/>
        </w:rPr>
        <w:t>Conoscere</w:t>
      </w:r>
      <w:r w:rsidRPr="00864056">
        <w:t xml:space="preserve"> l’imprenditoria migrante</w:t>
      </w:r>
      <w:r w:rsidR="005471B2" w:rsidRPr="00864056">
        <w:t xml:space="preserve">, comprenderne il ruolo e </w:t>
      </w:r>
      <w:r w:rsidR="003B0392" w:rsidRPr="00864056">
        <w:t xml:space="preserve">il </w:t>
      </w:r>
      <w:r w:rsidRPr="00864056">
        <w:t>rapporto con il resto del sistema produttivo</w:t>
      </w:r>
      <w:r w:rsidR="005471B2" w:rsidRPr="00864056">
        <w:t>,</w:t>
      </w:r>
      <w:r w:rsidRPr="00864056">
        <w:t xml:space="preserve"> ci aiut</w:t>
      </w:r>
      <w:r w:rsidR="00951DED" w:rsidRPr="00864056">
        <w:t>a</w:t>
      </w:r>
      <w:r w:rsidR="001838D1" w:rsidRPr="00864056">
        <w:t xml:space="preserve"> </w:t>
      </w:r>
      <w:r w:rsidR="0019783B" w:rsidRPr="00864056">
        <w:t>ad</w:t>
      </w:r>
      <w:r w:rsidRPr="00864056">
        <w:t xml:space="preserve"> orientare meglio politiche e interventi</w:t>
      </w:r>
      <w:r w:rsidR="001838D1" w:rsidRPr="00864056">
        <w:t>”</w:t>
      </w:r>
      <w:r w:rsidR="00AA2062" w:rsidRPr="00864056">
        <w:t>,</w:t>
      </w:r>
      <w:r w:rsidRPr="00864056">
        <w:t xml:space="preserve"> dice </w:t>
      </w:r>
      <w:r w:rsidR="00192AB0" w:rsidRPr="00864056">
        <w:rPr>
          <w:b/>
          <w:bCs/>
        </w:rPr>
        <w:t>Andrea Orlando</w:t>
      </w:r>
      <w:r w:rsidR="00192AB0" w:rsidRPr="00864056">
        <w:t>, m</w:t>
      </w:r>
      <w:r w:rsidRPr="00864056">
        <w:t xml:space="preserve">inistro del </w:t>
      </w:r>
      <w:r w:rsidR="0053508B" w:rsidRPr="00864056">
        <w:t>L</w:t>
      </w:r>
      <w:r w:rsidRPr="00864056">
        <w:t xml:space="preserve">avoro </w:t>
      </w:r>
      <w:r w:rsidR="0053508B" w:rsidRPr="00864056">
        <w:t>e delle Politiche Sociali</w:t>
      </w:r>
      <w:r w:rsidRPr="00864056">
        <w:t>. “</w:t>
      </w:r>
      <w:r w:rsidR="0053508B" w:rsidRPr="00864056">
        <w:rPr>
          <w:bCs/>
        </w:rPr>
        <w:t xml:space="preserve">Siamo di fronte a un fenomeno </w:t>
      </w:r>
      <w:r w:rsidR="00AA2062" w:rsidRPr="00864056">
        <w:rPr>
          <w:bCs/>
        </w:rPr>
        <w:t xml:space="preserve">in crescita costante, </w:t>
      </w:r>
      <w:r w:rsidR="0053508B" w:rsidRPr="00864056">
        <w:rPr>
          <w:bCs/>
        </w:rPr>
        <w:t>c</w:t>
      </w:r>
      <w:r w:rsidR="00C3088A" w:rsidRPr="00864056">
        <w:rPr>
          <w:bCs/>
        </w:rPr>
        <w:t>he mostra</w:t>
      </w:r>
      <w:r w:rsidR="00720D80" w:rsidRPr="00864056">
        <w:rPr>
          <w:bCs/>
        </w:rPr>
        <w:t xml:space="preserve"> </w:t>
      </w:r>
      <w:r w:rsidR="0053508B" w:rsidRPr="00864056">
        <w:rPr>
          <w:bCs/>
        </w:rPr>
        <w:t>grande vitalità e resilienza</w:t>
      </w:r>
      <w:r w:rsidR="00C3088A" w:rsidRPr="00864056">
        <w:rPr>
          <w:bCs/>
        </w:rPr>
        <w:t xml:space="preserve"> </w:t>
      </w:r>
      <w:r w:rsidR="00B52025" w:rsidRPr="00864056">
        <w:rPr>
          <w:bCs/>
        </w:rPr>
        <w:t xml:space="preserve">nelle crisi congiunturali e </w:t>
      </w:r>
      <w:r w:rsidR="00C3088A" w:rsidRPr="00864056">
        <w:rPr>
          <w:bCs/>
        </w:rPr>
        <w:t>anche</w:t>
      </w:r>
      <w:r w:rsidR="0053508B" w:rsidRPr="00864056">
        <w:rPr>
          <w:bCs/>
        </w:rPr>
        <w:t xml:space="preserve"> </w:t>
      </w:r>
      <w:r w:rsidR="00B52025" w:rsidRPr="00864056">
        <w:rPr>
          <w:bCs/>
        </w:rPr>
        <w:t>nel corso dell’emergenza sanitaria</w:t>
      </w:r>
      <w:r w:rsidR="0053508B" w:rsidRPr="00864056">
        <w:rPr>
          <w:bCs/>
        </w:rPr>
        <w:t xml:space="preserve">, </w:t>
      </w:r>
      <w:r w:rsidR="00FA32F9" w:rsidRPr="00864056">
        <w:rPr>
          <w:bCs/>
        </w:rPr>
        <w:t xml:space="preserve">ma </w:t>
      </w:r>
      <w:r w:rsidR="00192AB0" w:rsidRPr="00864056">
        <w:rPr>
          <w:bCs/>
        </w:rPr>
        <w:t xml:space="preserve">non privo di </w:t>
      </w:r>
      <w:r w:rsidR="003B0392" w:rsidRPr="00864056">
        <w:rPr>
          <w:bCs/>
        </w:rPr>
        <w:t>debolezz</w:t>
      </w:r>
      <w:r w:rsidR="00091379" w:rsidRPr="00864056">
        <w:rPr>
          <w:bCs/>
        </w:rPr>
        <w:t>e e criticità</w:t>
      </w:r>
      <w:r w:rsidR="003B0392" w:rsidRPr="00864056">
        <w:rPr>
          <w:bCs/>
        </w:rPr>
        <w:t xml:space="preserve">. </w:t>
      </w:r>
      <w:r w:rsidR="00192AB0" w:rsidRPr="00864056">
        <w:rPr>
          <w:bCs/>
        </w:rPr>
        <w:t>Avere un quadro chiaro</w:t>
      </w:r>
      <w:r w:rsidR="0019783B" w:rsidRPr="00864056">
        <w:rPr>
          <w:bCs/>
        </w:rPr>
        <w:t xml:space="preserve"> </w:t>
      </w:r>
      <w:r w:rsidR="003B0392" w:rsidRPr="00864056">
        <w:rPr>
          <w:bCs/>
        </w:rPr>
        <w:t xml:space="preserve">è </w:t>
      </w:r>
      <w:r w:rsidR="00192AB0" w:rsidRPr="00864056">
        <w:rPr>
          <w:bCs/>
        </w:rPr>
        <w:t xml:space="preserve">indispensabile </w:t>
      </w:r>
      <w:r w:rsidR="003B0392" w:rsidRPr="00864056">
        <w:rPr>
          <w:bCs/>
        </w:rPr>
        <w:t xml:space="preserve">per </w:t>
      </w:r>
      <w:r w:rsidR="00192AB0" w:rsidRPr="001405F7">
        <w:rPr>
          <w:b/>
          <w:bCs/>
        </w:rPr>
        <w:t xml:space="preserve">promuovere </w:t>
      </w:r>
      <w:r w:rsidR="003B0392" w:rsidRPr="001405F7">
        <w:rPr>
          <w:b/>
          <w:bCs/>
        </w:rPr>
        <w:t>queste</w:t>
      </w:r>
      <w:r w:rsidR="00F53655" w:rsidRPr="001405F7">
        <w:rPr>
          <w:b/>
          <w:bCs/>
        </w:rPr>
        <w:t xml:space="preserve"> </w:t>
      </w:r>
      <w:r w:rsidR="003B0392" w:rsidRPr="001405F7">
        <w:rPr>
          <w:b/>
          <w:bCs/>
        </w:rPr>
        <w:t xml:space="preserve">energie </w:t>
      </w:r>
      <w:r w:rsidR="00192AB0" w:rsidRPr="001405F7">
        <w:rPr>
          <w:b/>
          <w:bCs/>
        </w:rPr>
        <w:t>e incanalarle</w:t>
      </w:r>
      <w:r w:rsidR="00192AB0" w:rsidRPr="00864056">
        <w:rPr>
          <w:bCs/>
        </w:rPr>
        <w:t xml:space="preserve"> </w:t>
      </w:r>
      <w:r w:rsidR="00C3088A" w:rsidRPr="00864056">
        <w:rPr>
          <w:bCs/>
        </w:rPr>
        <w:t>soprattutto in questa fase di</w:t>
      </w:r>
      <w:r w:rsidR="003B0392" w:rsidRPr="00864056">
        <w:rPr>
          <w:bCs/>
        </w:rPr>
        <w:t xml:space="preserve"> ripresa</w:t>
      </w:r>
      <w:r w:rsidR="00C3088A" w:rsidRPr="00864056">
        <w:rPr>
          <w:bCs/>
        </w:rPr>
        <w:t xml:space="preserve"> e ripartenza</w:t>
      </w:r>
      <w:r w:rsidR="003B0392" w:rsidRPr="00864056">
        <w:rPr>
          <w:bCs/>
        </w:rPr>
        <w:t>, in un’ottica di sviluppo inclusivo e sostenibile per tutto il Paese</w:t>
      </w:r>
      <w:r w:rsidR="003B0392" w:rsidRPr="00864056">
        <w:t xml:space="preserve">”. </w:t>
      </w:r>
    </w:p>
    <w:p w14:paraId="01E9E7F1" w14:textId="0573C58C" w:rsidR="009B4B28" w:rsidRDefault="009B4B28" w:rsidP="00A736D6">
      <w:pPr>
        <w:spacing w:after="0" w:line="240" w:lineRule="auto"/>
        <w:jc w:val="both"/>
      </w:pPr>
    </w:p>
    <w:p w14:paraId="456E39CB" w14:textId="118E294B" w:rsidR="009B4B28" w:rsidRDefault="00003C45" w:rsidP="00A736D6">
      <w:pPr>
        <w:spacing w:after="0" w:line="240" w:lineRule="auto"/>
        <w:jc w:val="both"/>
      </w:pPr>
      <w:r w:rsidRPr="00003C45">
        <w:t xml:space="preserve">"Oggi ci confrontiamo con imponenti flussi migratori ai quali il mondo occidentale deve trovare il modo di dare adeguata risposta in termini di accoglienza, lavoro, possibilità di integrazione”, commenta il Presidente di Unioncamere, </w:t>
      </w:r>
      <w:r w:rsidRPr="00003C45">
        <w:rPr>
          <w:b/>
          <w:bCs/>
        </w:rPr>
        <w:t>Andrea Prete</w:t>
      </w:r>
      <w:r w:rsidRPr="00003C45">
        <w:t xml:space="preserve">. “Il supporto all'avvio dell'attività imprenditoriale rappresenta una delle possibili risposte a quanti vogliano trasformare </w:t>
      </w:r>
      <w:r w:rsidRPr="00003C45">
        <w:rPr>
          <w:b/>
          <w:bCs/>
        </w:rPr>
        <w:t>una buona intuizione in un progetto di vita e di lavoro</w:t>
      </w:r>
      <w:r w:rsidRPr="00003C45">
        <w:t xml:space="preserve"> e su questo le Camere di Commercio giocano un ruolo importante”.</w:t>
      </w:r>
    </w:p>
    <w:p w14:paraId="77817659" w14:textId="1D357E3D" w:rsidR="00CB603F" w:rsidRDefault="00CB603F" w:rsidP="00716561">
      <w:pPr>
        <w:widowControl w:val="0"/>
        <w:autoSpaceDE w:val="0"/>
        <w:autoSpaceDN w:val="0"/>
        <w:adjustRightInd w:val="0"/>
        <w:spacing w:after="0" w:line="240" w:lineRule="auto"/>
        <w:jc w:val="both"/>
        <w:rPr>
          <w:rFonts w:ascii="Calibri" w:hAnsi="Calibri"/>
        </w:rPr>
      </w:pPr>
    </w:p>
    <w:p w14:paraId="30313BE1" w14:textId="229FA31B" w:rsidR="00957D50" w:rsidRPr="00C935F8" w:rsidRDefault="006C24EA" w:rsidP="00957D50">
      <w:pPr>
        <w:widowControl w:val="0"/>
        <w:autoSpaceDE w:val="0"/>
        <w:autoSpaceDN w:val="0"/>
        <w:adjustRightInd w:val="0"/>
        <w:spacing w:after="0" w:line="240" w:lineRule="auto"/>
        <w:jc w:val="both"/>
        <w:rPr>
          <w:rFonts w:ascii="Calibri" w:hAnsi="Calibri" w:cs="Garamond"/>
          <w:color w:val="000000"/>
        </w:rPr>
      </w:pPr>
      <w:r>
        <w:rPr>
          <w:rFonts w:ascii="Calibri" w:hAnsi="Calibri" w:cs="Garamond"/>
          <w:color w:val="000000"/>
        </w:rPr>
        <w:t>Il rapporto dell</w:t>
      </w:r>
      <w:r w:rsidR="00957D50" w:rsidRPr="00C663A7">
        <w:rPr>
          <w:rFonts w:ascii="Calibri" w:hAnsi="Calibri" w:cs="Garamond"/>
          <w:color w:val="000000"/>
        </w:rPr>
        <w:t>’</w:t>
      </w:r>
      <w:r w:rsidR="00957D50" w:rsidRPr="00776362">
        <w:rPr>
          <w:rFonts w:ascii="Calibri" w:hAnsi="Calibri" w:cs="Garamond"/>
          <w:b/>
          <w:bCs/>
          <w:color w:val="000000"/>
        </w:rPr>
        <w:t>Osservatorio</w:t>
      </w:r>
      <w:r w:rsidR="00957D50">
        <w:t>, la cui realizzazione è stata affidata da Unioncamere al Centro Studi di Politica Internazionale (Cespi) e a Deloitte consulting, analizza l’imprenditoria migrante anche in chiave territoriale e settoriale, e ne indaga i rapporti con i distretti Industriali e con le associazioni di categoria. Studia, poi, il processo di inclusione finanziaria dei migranti, analizzando il</w:t>
      </w:r>
      <w:r w:rsidR="00957D50" w:rsidRPr="000671BB">
        <w:t xml:space="preserve"> rapporto </w:t>
      </w:r>
      <w:r w:rsidR="00957D50">
        <w:t>con il</w:t>
      </w:r>
      <w:r w:rsidR="00957D50" w:rsidRPr="000671BB">
        <w:t xml:space="preserve"> sistema del credito</w:t>
      </w:r>
      <w:r w:rsidR="00957D50">
        <w:t xml:space="preserve"> (</w:t>
      </w:r>
      <w:proofErr w:type="spellStart"/>
      <w:r w:rsidR="00957D50">
        <w:t>bancarizzazione</w:t>
      </w:r>
      <w:proofErr w:type="spellEnd"/>
      <w:r w:rsidR="00957D50">
        <w:t xml:space="preserve">, strumenti utilizzati, accesso al credito…), attraverso i dati degli operatori finanziari e un’indagine campionaria, con approfondimenti sulle rimesse e sulla finanza digitale. </w:t>
      </w:r>
    </w:p>
    <w:p w14:paraId="5363A156" w14:textId="77777777" w:rsidR="00957D50" w:rsidRDefault="00957D50" w:rsidP="00C663A7">
      <w:pPr>
        <w:widowControl w:val="0"/>
        <w:autoSpaceDE w:val="0"/>
        <w:autoSpaceDN w:val="0"/>
        <w:adjustRightInd w:val="0"/>
        <w:spacing w:after="0" w:line="240" w:lineRule="auto"/>
        <w:jc w:val="both"/>
        <w:rPr>
          <w:rFonts w:ascii="Calibri" w:hAnsi="Calibri" w:cs="Garamond"/>
          <w:color w:val="000000"/>
        </w:rPr>
      </w:pPr>
    </w:p>
    <w:p w14:paraId="2952FEDB" w14:textId="3F92EEAC" w:rsidR="00C35945" w:rsidRDefault="007F4A79" w:rsidP="00C663A7">
      <w:pPr>
        <w:widowControl w:val="0"/>
        <w:autoSpaceDE w:val="0"/>
        <w:autoSpaceDN w:val="0"/>
        <w:adjustRightInd w:val="0"/>
        <w:spacing w:after="0" w:line="240" w:lineRule="auto"/>
        <w:jc w:val="both"/>
      </w:pPr>
      <w:r w:rsidRPr="00C663A7">
        <w:rPr>
          <w:rFonts w:ascii="Calibri" w:hAnsi="Calibri" w:cs="Garamond"/>
          <w:color w:val="000000"/>
        </w:rPr>
        <w:t>La</w:t>
      </w:r>
      <w:r w:rsidR="00C663A7" w:rsidRPr="00C663A7">
        <w:rPr>
          <w:rFonts w:ascii="Calibri" w:hAnsi="Calibri" w:cs="Garamond"/>
          <w:color w:val="000000"/>
        </w:rPr>
        <w:t xml:space="preserve"> </w:t>
      </w:r>
      <w:r w:rsidR="00103811" w:rsidRPr="00776362">
        <w:rPr>
          <w:rFonts w:ascii="Calibri" w:hAnsi="Calibri" w:cs="Garamond"/>
          <w:b/>
          <w:bCs/>
          <w:color w:val="000000"/>
        </w:rPr>
        <w:t>dashboard</w:t>
      </w:r>
      <w:r w:rsidRPr="00C663A7">
        <w:rPr>
          <w:rFonts w:ascii="Calibri" w:hAnsi="Calibri" w:cs="Garamond"/>
          <w:color w:val="000000"/>
        </w:rPr>
        <w:t>, messa a punto da InfoCamere,</w:t>
      </w:r>
      <w:r w:rsidR="00640D70">
        <w:rPr>
          <w:rFonts w:ascii="Calibri" w:hAnsi="Calibri" w:cs="Garamond"/>
          <w:color w:val="000000"/>
        </w:rPr>
        <w:t xml:space="preserve"> consente di navigare tra i principali dati relativi alle imprese dei migranti</w:t>
      </w:r>
      <w:r w:rsidR="007E7617">
        <w:rPr>
          <w:rFonts w:ascii="Calibri" w:hAnsi="Calibri" w:cs="Garamond"/>
          <w:color w:val="000000"/>
        </w:rPr>
        <w:t xml:space="preserve"> (imprese attive, </w:t>
      </w:r>
      <w:r w:rsidR="009A0823">
        <w:rPr>
          <w:rFonts w:ascii="Calibri" w:hAnsi="Calibri" w:cs="Garamond"/>
          <w:color w:val="000000"/>
        </w:rPr>
        <w:t xml:space="preserve">incidenza, </w:t>
      </w:r>
      <w:r w:rsidR="00640D70">
        <w:rPr>
          <w:rFonts w:ascii="Calibri" w:hAnsi="Calibri" w:cs="Garamond"/>
          <w:color w:val="000000"/>
        </w:rPr>
        <w:t>forma giuridica, settore di attività</w:t>
      </w:r>
      <w:r w:rsidR="007E7617">
        <w:rPr>
          <w:rFonts w:ascii="Calibri" w:hAnsi="Calibri" w:cs="Garamond"/>
          <w:color w:val="000000"/>
        </w:rPr>
        <w:t xml:space="preserve">, </w:t>
      </w:r>
      <w:r w:rsidR="00640D70">
        <w:rPr>
          <w:rFonts w:ascii="Calibri" w:hAnsi="Calibri" w:cs="Garamond"/>
          <w:color w:val="000000"/>
        </w:rPr>
        <w:t>distribuzione territoriale</w:t>
      </w:r>
      <w:r w:rsidR="00A25411">
        <w:rPr>
          <w:rFonts w:ascii="Calibri" w:hAnsi="Calibri" w:cs="Garamond"/>
          <w:color w:val="000000"/>
        </w:rPr>
        <w:t>)</w:t>
      </w:r>
      <w:r w:rsidR="007E7617">
        <w:rPr>
          <w:rFonts w:ascii="Calibri" w:hAnsi="Calibri" w:cs="Garamond"/>
          <w:color w:val="000000"/>
        </w:rPr>
        <w:t>, leggerne</w:t>
      </w:r>
      <w:r w:rsidR="006D3675">
        <w:rPr>
          <w:rFonts w:ascii="Calibri" w:hAnsi="Calibri" w:cs="Garamond"/>
          <w:color w:val="000000"/>
        </w:rPr>
        <w:t xml:space="preserve"> le dinamiche </w:t>
      </w:r>
      <w:r w:rsidR="00E15453">
        <w:rPr>
          <w:rFonts w:ascii="Calibri" w:hAnsi="Calibri" w:cs="Garamond"/>
          <w:color w:val="000000"/>
        </w:rPr>
        <w:t>(</w:t>
      </w:r>
      <w:r w:rsidR="006D3675">
        <w:rPr>
          <w:rFonts w:ascii="Calibri" w:hAnsi="Calibri" w:cs="Garamond"/>
          <w:color w:val="000000"/>
        </w:rPr>
        <w:t>iscrizi</w:t>
      </w:r>
      <w:r w:rsidR="00432B64">
        <w:rPr>
          <w:rFonts w:ascii="Calibri" w:hAnsi="Calibri" w:cs="Garamond"/>
          <w:color w:val="000000"/>
        </w:rPr>
        <w:t>o</w:t>
      </w:r>
      <w:r w:rsidR="006D3675">
        <w:rPr>
          <w:rFonts w:ascii="Calibri" w:hAnsi="Calibri" w:cs="Garamond"/>
          <w:color w:val="000000"/>
        </w:rPr>
        <w:t>n</w:t>
      </w:r>
      <w:r w:rsidR="00432B64">
        <w:rPr>
          <w:rFonts w:ascii="Calibri" w:hAnsi="Calibri" w:cs="Garamond"/>
          <w:color w:val="000000"/>
        </w:rPr>
        <w:t>i e cessazioni</w:t>
      </w:r>
      <w:r w:rsidR="00E15453">
        <w:rPr>
          <w:rFonts w:ascii="Calibri" w:hAnsi="Calibri" w:cs="Garamond"/>
          <w:color w:val="000000"/>
        </w:rPr>
        <w:t xml:space="preserve">, </w:t>
      </w:r>
      <w:r w:rsidR="00A25411">
        <w:rPr>
          <w:rFonts w:ascii="Calibri" w:hAnsi="Calibri" w:cs="Garamond"/>
          <w:color w:val="000000"/>
        </w:rPr>
        <w:t>durata</w:t>
      </w:r>
      <w:r w:rsidR="00E15453">
        <w:rPr>
          <w:rFonts w:ascii="Calibri" w:hAnsi="Calibri" w:cs="Garamond"/>
          <w:color w:val="000000"/>
        </w:rPr>
        <w:t xml:space="preserve"> media</w:t>
      </w:r>
      <w:r w:rsidR="00A25411">
        <w:rPr>
          <w:rFonts w:ascii="Calibri" w:hAnsi="Calibri" w:cs="Garamond"/>
          <w:color w:val="000000"/>
        </w:rPr>
        <w:t>, tassi di natalità, mortalità e turnover) e</w:t>
      </w:r>
      <w:r w:rsidR="007E7617">
        <w:rPr>
          <w:rFonts w:ascii="Calibri" w:hAnsi="Calibri" w:cs="Garamond"/>
          <w:color w:val="000000"/>
        </w:rPr>
        <w:t xml:space="preserve"> conoscerne meglio i protagonisti (Paesi di origine, </w:t>
      </w:r>
      <w:r w:rsidR="00A25411">
        <w:rPr>
          <w:rFonts w:ascii="Calibri" w:hAnsi="Calibri" w:cs="Garamond"/>
          <w:color w:val="000000"/>
        </w:rPr>
        <w:t>genere, età, cariche)</w:t>
      </w:r>
      <w:r w:rsidR="007E7617">
        <w:rPr>
          <w:rFonts w:ascii="Calibri" w:hAnsi="Calibri" w:cs="Garamond"/>
          <w:color w:val="000000"/>
        </w:rPr>
        <w:t xml:space="preserve">. </w:t>
      </w:r>
      <w:r w:rsidR="008509A4">
        <w:t xml:space="preserve">Una mappa dettagliata, quindi, di un universo </w:t>
      </w:r>
      <w:r w:rsidR="00A736D6">
        <w:t>di</w:t>
      </w:r>
      <w:r w:rsidR="00A736D6" w:rsidRPr="00A736D6">
        <w:t xml:space="preserve"> oltre 644mila imprese (l’11% del totale)</w:t>
      </w:r>
      <w:r w:rsidR="001838D1">
        <w:t xml:space="preserve"> che operano </w:t>
      </w:r>
      <w:r>
        <w:t>prevalentemente nei settori del</w:t>
      </w:r>
      <w:r w:rsidR="00F132A6">
        <w:t xml:space="preserve"> commercio, delle costruzioni e dei servizi</w:t>
      </w:r>
      <w:r>
        <w:t>, h</w:t>
      </w:r>
      <w:r w:rsidR="00A73BCA">
        <w:t>anno</w:t>
      </w:r>
      <w:r>
        <w:t xml:space="preserve"> una partecipazione giovanile superiore alla media delle </w:t>
      </w:r>
      <w:r>
        <w:lastRenderedPageBreak/>
        <w:t>imprese italiane (</w:t>
      </w:r>
      <w:r w:rsidR="00F132A6">
        <w:t>16</w:t>
      </w:r>
      <w:r>
        <w:t xml:space="preserve">%) e una presenza femminile cospicua </w:t>
      </w:r>
      <w:r w:rsidR="00F132A6">
        <w:t xml:space="preserve">(il 24% delle imprese </w:t>
      </w:r>
      <w:r w:rsidR="007451AD">
        <w:t xml:space="preserve">straniere </w:t>
      </w:r>
      <w:r w:rsidR="00F132A6">
        <w:t>sono guidate da donne).</w:t>
      </w:r>
    </w:p>
    <w:p w14:paraId="23A118D1" w14:textId="37288E5F" w:rsidR="007F4A79" w:rsidRDefault="007F4A79" w:rsidP="00C663A7">
      <w:pPr>
        <w:pStyle w:val="Paragrafoelenco"/>
        <w:widowControl w:val="0"/>
        <w:autoSpaceDE w:val="0"/>
        <w:autoSpaceDN w:val="0"/>
        <w:adjustRightInd w:val="0"/>
        <w:spacing w:after="0" w:line="240" w:lineRule="auto"/>
        <w:jc w:val="both"/>
      </w:pPr>
    </w:p>
    <w:p w14:paraId="4CB7E269" w14:textId="3C282FB1" w:rsidR="00BC09F6" w:rsidRDefault="005E577E" w:rsidP="00716561">
      <w:pPr>
        <w:spacing w:after="0" w:line="240" w:lineRule="auto"/>
        <w:jc w:val="both"/>
      </w:pPr>
      <w:r>
        <w:t>Prosegue, intanto,</w:t>
      </w:r>
      <w:r w:rsidR="009A0823">
        <w:t xml:space="preserve"> </w:t>
      </w:r>
      <w:r w:rsidR="00917172">
        <w:t xml:space="preserve">l’attività di animazione, </w:t>
      </w:r>
      <w:r w:rsidR="00917172" w:rsidRPr="00776362">
        <w:rPr>
          <w:b/>
          <w:bCs/>
        </w:rPr>
        <w:t>formazione e affiancamento</w:t>
      </w:r>
      <w:r w:rsidR="00917172">
        <w:t xml:space="preserve"> al fare impresa dei migranti, avviata da circa un anno e mezzo da Unioncamere e dalle Camere di commerc</w:t>
      </w:r>
      <w:r w:rsidR="005A3BF9">
        <w:t>i</w:t>
      </w:r>
      <w:r w:rsidR="00917172">
        <w:t xml:space="preserve">o </w:t>
      </w:r>
      <w:r w:rsidR="005A3BF9">
        <w:t>in</w:t>
      </w:r>
      <w:r w:rsidR="00917172">
        <w:t xml:space="preserve"> 2</w:t>
      </w:r>
      <w:r w:rsidR="00221141">
        <w:t>2</w:t>
      </w:r>
      <w:r w:rsidR="00917172">
        <w:t xml:space="preserve"> </w:t>
      </w:r>
      <w:r>
        <w:t xml:space="preserve">province. </w:t>
      </w:r>
      <w:r w:rsidR="00C935F8">
        <w:t>Grazie a quest</w:t>
      </w:r>
      <w:r w:rsidR="00481908">
        <w:t xml:space="preserve">’altra </w:t>
      </w:r>
      <w:r w:rsidR="00C935F8">
        <w:t>linea</w:t>
      </w:r>
      <w:r w:rsidR="009B4B28">
        <w:t xml:space="preserve"> del progetto </w:t>
      </w:r>
      <w:proofErr w:type="spellStart"/>
      <w:r w:rsidR="009B4B28" w:rsidRPr="009B4B28">
        <w:rPr>
          <w:i/>
          <w:iCs/>
        </w:rPr>
        <w:t>Futurae</w:t>
      </w:r>
      <w:proofErr w:type="spellEnd"/>
      <w:r w:rsidR="00C935F8">
        <w:t xml:space="preserve">, sono nate finora </w:t>
      </w:r>
      <w:r w:rsidR="00917172">
        <w:t xml:space="preserve">20 nuove imprese, altre 10 hanno in corso le procedure di registrazione e 90 ulteriori nuove attività sono in fase avanzata di accompagnamento. </w:t>
      </w:r>
    </w:p>
    <w:p w14:paraId="0E0640E6" w14:textId="77777777" w:rsidR="00917172" w:rsidRPr="00BC09F6" w:rsidRDefault="00917172" w:rsidP="00716561">
      <w:pPr>
        <w:spacing w:after="0" w:line="240" w:lineRule="auto"/>
        <w:jc w:val="both"/>
      </w:pPr>
    </w:p>
    <w:p w14:paraId="6A92F37C" w14:textId="2293C732" w:rsidR="002D0993" w:rsidRDefault="002D0993" w:rsidP="00716561">
      <w:pPr>
        <w:spacing w:after="0" w:line="240" w:lineRule="auto"/>
        <w:jc w:val="both"/>
        <w:rPr>
          <w:i/>
          <w:iCs/>
        </w:rPr>
      </w:pPr>
    </w:p>
    <w:p w14:paraId="1A4D9944" w14:textId="2DFD7FD9" w:rsidR="002D0993" w:rsidRDefault="002D0993" w:rsidP="00716561">
      <w:pPr>
        <w:spacing w:after="0" w:line="240" w:lineRule="auto"/>
        <w:jc w:val="both"/>
        <w:rPr>
          <w:i/>
          <w:iCs/>
        </w:rPr>
      </w:pPr>
    </w:p>
    <w:sectPr w:rsidR="002D099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B3BD" w14:textId="77777777" w:rsidR="00BB37FE" w:rsidRDefault="00BB37FE" w:rsidP="002331E8">
      <w:pPr>
        <w:spacing w:after="0" w:line="240" w:lineRule="auto"/>
      </w:pPr>
      <w:r>
        <w:separator/>
      </w:r>
    </w:p>
  </w:endnote>
  <w:endnote w:type="continuationSeparator" w:id="0">
    <w:p w14:paraId="51636960" w14:textId="77777777" w:rsidR="00BB37FE" w:rsidRDefault="00BB37FE" w:rsidP="0023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CE35" w14:textId="77777777" w:rsidR="00BB37FE" w:rsidRDefault="00BB37FE" w:rsidP="002331E8">
      <w:pPr>
        <w:spacing w:after="0" w:line="240" w:lineRule="auto"/>
      </w:pPr>
      <w:r>
        <w:separator/>
      </w:r>
    </w:p>
  </w:footnote>
  <w:footnote w:type="continuationSeparator" w:id="0">
    <w:p w14:paraId="1EC27147" w14:textId="77777777" w:rsidR="00BB37FE" w:rsidRDefault="00BB37FE" w:rsidP="00233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84B"/>
    <w:multiLevelType w:val="hybridMultilevel"/>
    <w:tmpl w:val="6B68E01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D36188"/>
    <w:multiLevelType w:val="hybridMultilevel"/>
    <w:tmpl w:val="24309EBA"/>
    <w:lvl w:ilvl="0" w:tplc="31C0DAB6">
      <w:start w:val="1"/>
      <w:numFmt w:val="lowerLetter"/>
      <w:lvlText w:val="%1)"/>
      <w:lvlJc w:val="left"/>
      <w:pPr>
        <w:ind w:left="720" w:hanging="360"/>
      </w:pPr>
      <w:rPr>
        <w:rFonts w:ascii="Calibri" w:hAnsi="Calibri" w:cs="Garamond"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F6"/>
    <w:rsid w:val="00003C45"/>
    <w:rsid w:val="000113C6"/>
    <w:rsid w:val="00054CBB"/>
    <w:rsid w:val="00056623"/>
    <w:rsid w:val="00064151"/>
    <w:rsid w:val="000671BB"/>
    <w:rsid w:val="00072A5C"/>
    <w:rsid w:val="00091379"/>
    <w:rsid w:val="00097220"/>
    <w:rsid w:val="000E2E93"/>
    <w:rsid w:val="00103811"/>
    <w:rsid w:val="0010496E"/>
    <w:rsid w:val="00133DA0"/>
    <w:rsid w:val="001405F7"/>
    <w:rsid w:val="001712EE"/>
    <w:rsid w:val="001838D1"/>
    <w:rsid w:val="00192AB0"/>
    <w:rsid w:val="0019783B"/>
    <w:rsid w:val="00200ADC"/>
    <w:rsid w:val="00207620"/>
    <w:rsid w:val="002201E0"/>
    <w:rsid w:val="00221141"/>
    <w:rsid w:val="002331E8"/>
    <w:rsid w:val="00242BB6"/>
    <w:rsid w:val="00244596"/>
    <w:rsid w:val="00247B7A"/>
    <w:rsid w:val="002550CC"/>
    <w:rsid w:val="00257873"/>
    <w:rsid w:val="0027429C"/>
    <w:rsid w:val="00283E6C"/>
    <w:rsid w:val="00290098"/>
    <w:rsid w:val="002C552A"/>
    <w:rsid w:val="002D0993"/>
    <w:rsid w:val="00330190"/>
    <w:rsid w:val="00337903"/>
    <w:rsid w:val="00376EDB"/>
    <w:rsid w:val="00394FE6"/>
    <w:rsid w:val="003A61C4"/>
    <w:rsid w:val="003B0392"/>
    <w:rsid w:val="003B6319"/>
    <w:rsid w:val="003C0288"/>
    <w:rsid w:val="003F1C39"/>
    <w:rsid w:val="00420584"/>
    <w:rsid w:val="00432B64"/>
    <w:rsid w:val="00443483"/>
    <w:rsid w:val="00463EFB"/>
    <w:rsid w:val="00470443"/>
    <w:rsid w:val="00475E93"/>
    <w:rsid w:val="00481337"/>
    <w:rsid w:val="00481908"/>
    <w:rsid w:val="00492517"/>
    <w:rsid w:val="00495064"/>
    <w:rsid w:val="004B109A"/>
    <w:rsid w:val="004B2DBA"/>
    <w:rsid w:val="004B7961"/>
    <w:rsid w:val="004F6944"/>
    <w:rsid w:val="00506606"/>
    <w:rsid w:val="0053508B"/>
    <w:rsid w:val="005471B2"/>
    <w:rsid w:val="00554369"/>
    <w:rsid w:val="0055524B"/>
    <w:rsid w:val="00570FD2"/>
    <w:rsid w:val="005879A3"/>
    <w:rsid w:val="005A0A25"/>
    <w:rsid w:val="005A3BF9"/>
    <w:rsid w:val="005D097B"/>
    <w:rsid w:val="005D7803"/>
    <w:rsid w:val="005E577E"/>
    <w:rsid w:val="005F095E"/>
    <w:rsid w:val="005F45A7"/>
    <w:rsid w:val="006263C4"/>
    <w:rsid w:val="00640AB5"/>
    <w:rsid w:val="00640D70"/>
    <w:rsid w:val="00657740"/>
    <w:rsid w:val="006A1F43"/>
    <w:rsid w:val="006C24EA"/>
    <w:rsid w:val="006C77CB"/>
    <w:rsid w:val="006D3675"/>
    <w:rsid w:val="006E361A"/>
    <w:rsid w:val="006F090E"/>
    <w:rsid w:val="006F69CC"/>
    <w:rsid w:val="00716561"/>
    <w:rsid w:val="00720D80"/>
    <w:rsid w:val="007305E7"/>
    <w:rsid w:val="00734896"/>
    <w:rsid w:val="007451AD"/>
    <w:rsid w:val="007721B6"/>
    <w:rsid w:val="00776362"/>
    <w:rsid w:val="007B4704"/>
    <w:rsid w:val="007C318E"/>
    <w:rsid w:val="007E0C55"/>
    <w:rsid w:val="007E7617"/>
    <w:rsid w:val="007F4A79"/>
    <w:rsid w:val="007F5D68"/>
    <w:rsid w:val="00821154"/>
    <w:rsid w:val="00822B01"/>
    <w:rsid w:val="008509A4"/>
    <w:rsid w:val="00864056"/>
    <w:rsid w:val="008670CD"/>
    <w:rsid w:val="008754FC"/>
    <w:rsid w:val="008D1908"/>
    <w:rsid w:val="008E3B36"/>
    <w:rsid w:val="00905694"/>
    <w:rsid w:val="00917172"/>
    <w:rsid w:val="009338CA"/>
    <w:rsid w:val="00950835"/>
    <w:rsid w:val="00951DED"/>
    <w:rsid w:val="00957D50"/>
    <w:rsid w:val="009619DC"/>
    <w:rsid w:val="00976C04"/>
    <w:rsid w:val="009774EC"/>
    <w:rsid w:val="009A0823"/>
    <w:rsid w:val="009B4B28"/>
    <w:rsid w:val="009E21F8"/>
    <w:rsid w:val="009F6A0C"/>
    <w:rsid w:val="00A06173"/>
    <w:rsid w:val="00A2164D"/>
    <w:rsid w:val="00A25411"/>
    <w:rsid w:val="00A27EFF"/>
    <w:rsid w:val="00A42CED"/>
    <w:rsid w:val="00A65395"/>
    <w:rsid w:val="00A736D6"/>
    <w:rsid w:val="00A73BCA"/>
    <w:rsid w:val="00A87FE1"/>
    <w:rsid w:val="00AA2062"/>
    <w:rsid w:val="00AB1A90"/>
    <w:rsid w:val="00AB3103"/>
    <w:rsid w:val="00AC022A"/>
    <w:rsid w:val="00B24703"/>
    <w:rsid w:val="00B52025"/>
    <w:rsid w:val="00BA17F8"/>
    <w:rsid w:val="00BB37FE"/>
    <w:rsid w:val="00BB5BFA"/>
    <w:rsid w:val="00BB7BA1"/>
    <w:rsid w:val="00BC09F6"/>
    <w:rsid w:val="00BD0D6C"/>
    <w:rsid w:val="00BD2169"/>
    <w:rsid w:val="00BE23A7"/>
    <w:rsid w:val="00BF5F56"/>
    <w:rsid w:val="00C0366E"/>
    <w:rsid w:val="00C2714E"/>
    <w:rsid w:val="00C3088A"/>
    <w:rsid w:val="00C35945"/>
    <w:rsid w:val="00C4795C"/>
    <w:rsid w:val="00C610BD"/>
    <w:rsid w:val="00C663A7"/>
    <w:rsid w:val="00C935F8"/>
    <w:rsid w:val="00CA17C3"/>
    <w:rsid w:val="00CB3884"/>
    <w:rsid w:val="00CB603F"/>
    <w:rsid w:val="00CC2F1C"/>
    <w:rsid w:val="00CF5811"/>
    <w:rsid w:val="00D01F1A"/>
    <w:rsid w:val="00D10AAD"/>
    <w:rsid w:val="00D30EA4"/>
    <w:rsid w:val="00D374D9"/>
    <w:rsid w:val="00D4695C"/>
    <w:rsid w:val="00D718D6"/>
    <w:rsid w:val="00D82ACE"/>
    <w:rsid w:val="00D87716"/>
    <w:rsid w:val="00D954B1"/>
    <w:rsid w:val="00DA6CDB"/>
    <w:rsid w:val="00DD155D"/>
    <w:rsid w:val="00DE0687"/>
    <w:rsid w:val="00DE0FC7"/>
    <w:rsid w:val="00DF0571"/>
    <w:rsid w:val="00E11C5B"/>
    <w:rsid w:val="00E15453"/>
    <w:rsid w:val="00E2024A"/>
    <w:rsid w:val="00E43391"/>
    <w:rsid w:val="00E81B21"/>
    <w:rsid w:val="00EA1832"/>
    <w:rsid w:val="00F001D3"/>
    <w:rsid w:val="00F019BC"/>
    <w:rsid w:val="00F132A6"/>
    <w:rsid w:val="00F15960"/>
    <w:rsid w:val="00F275D0"/>
    <w:rsid w:val="00F53655"/>
    <w:rsid w:val="00F64EE2"/>
    <w:rsid w:val="00F74ED4"/>
    <w:rsid w:val="00F8020C"/>
    <w:rsid w:val="00F87177"/>
    <w:rsid w:val="00FA1F64"/>
    <w:rsid w:val="00FA32F9"/>
    <w:rsid w:val="00FF516D"/>
    <w:rsid w:val="14B892C8"/>
    <w:rsid w:val="25915169"/>
    <w:rsid w:val="40DEA615"/>
    <w:rsid w:val="6959708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DABC8"/>
  <w15:docId w15:val="{E4D9834C-A604-4A32-AA0C-F6373C8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09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C09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331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1E8"/>
  </w:style>
  <w:style w:type="paragraph" w:styleId="Pidipagina">
    <w:name w:val="footer"/>
    <w:basedOn w:val="Normale"/>
    <w:link w:val="PidipaginaCarattere"/>
    <w:uiPriority w:val="99"/>
    <w:unhideWhenUsed/>
    <w:rsid w:val="002331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1E8"/>
  </w:style>
  <w:style w:type="paragraph" w:styleId="Testofumetto">
    <w:name w:val="Balloon Text"/>
    <w:basedOn w:val="Normale"/>
    <w:link w:val="TestofumettoCarattere"/>
    <w:uiPriority w:val="99"/>
    <w:semiHidden/>
    <w:unhideWhenUsed/>
    <w:rsid w:val="003379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7903"/>
    <w:rPr>
      <w:rFonts w:ascii="Tahoma" w:hAnsi="Tahoma" w:cs="Tahoma"/>
      <w:sz w:val="16"/>
      <w:szCs w:val="16"/>
    </w:rPr>
  </w:style>
  <w:style w:type="table" w:styleId="Grigliatabella">
    <w:name w:val="Table Grid"/>
    <w:basedOn w:val="Tabellanormale"/>
    <w:uiPriority w:val="39"/>
    <w:rsid w:val="00640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35945"/>
    <w:rPr>
      <w:color w:val="0563C1" w:themeColor="hyperlink"/>
      <w:u w:val="single"/>
    </w:rPr>
  </w:style>
  <w:style w:type="paragraph" w:styleId="Paragrafoelenco">
    <w:name w:val="List Paragraph"/>
    <w:basedOn w:val="Normale"/>
    <w:uiPriority w:val="34"/>
    <w:qFormat/>
    <w:rsid w:val="00103811"/>
    <w:pPr>
      <w:ind w:left="720"/>
      <w:contextualSpacing/>
    </w:pPr>
  </w:style>
  <w:style w:type="paragraph" w:styleId="Revisione">
    <w:name w:val="Revision"/>
    <w:hidden/>
    <w:uiPriority w:val="99"/>
    <w:semiHidden/>
    <w:rsid w:val="00207620"/>
    <w:pPr>
      <w:spacing w:after="0" w:line="240" w:lineRule="auto"/>
    </w:pPr>
  </w:style>
  <w:style w:type="character" w:styleId="Menzionenonrisolta">
    <w:name w:val="Unresolved Mention"/>
    <w:basedOn w:val="Carpredefinitoparagrafo"/>
    <w:uiPriority w:val="99"/>
    <w:semiHidden/>
    <w:unhideWhenUsed/>
    <w:rsid w:val="00555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5733">
      <w:bodyDiv w:val="1"/>
      <w:marLeft w:val="0"/>
      <w:marRight w:val="0"/>
      <w:marTop w:val="0"/>
      <w:marBottom w:val="0"/>
      <w:divBdr>
        <w:top w:val="none" w:sz="0" w:space="0" w:color="auto"/>
        <w:left w:val="none" w:sz="0" w:space="0" w:color="auto"/>
        <w:bottom w:val="none" w:sz="0" w:space="0" w:color="auto"/>
        <w:right w:val="none" w:sz="0" w:space="0" w:color="auto"/>
      </w:divBdr>
    </w:div>
    <w:div w:id="1218006495">
      <w:bodyDiv w:val="1"/>
      <w:marLeft w:val="0"/>
      <w:marRight w:val="0"/>
      <w:marTop w:val="0"/>
      <w:marBottom w:val="0"/>
      <w:divBdr>
        <w:top w:val="none" w:sz="0" w:space="0" w:color="auto"/>
        <w:left w:val="none" w:sz="0" w:space="0" w:color="auto"/>
        <w:bottom w:val="none" w:sz="0" w:space="0" w:color="auto"/>
        <w:right w:val="none" w:sz="0" w:space="0" w:color="auto"/>
      </w:divBdr>
    </w:div>
    <w:div w:id="14403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oncamer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Elvio Pasca</dc:creator>
  <cp:lastModifiedBy>Alessandra Altina</cp:lastModifiedBy>
  <cp:revision>2</cp:revision>
  <dcterms:created xsi:type="dcterms:W3CDTF">2021-12-10T09:14:00Z</dcterms:created>
  <dcterms:modified xsi:type="dcterms:W3CDTF">2021-12-10T09:14:00Z</dcterms:modified>
</cp:coreProperties>
</file>