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43" w:rsidRPr="008B1467" w:rsidRDefault="00EB5943" w:rsidP="001C3C44">
      <w:pPr>
        <w:spacing w:after="0" w:line="240" w:lineRule="auto"/>
        <w:jc w:val="both"/>
        <w:rPr>
          <w:rStyle w:val="A6"/>
          <w:rFonts w:cstheme="minorHAnsi"/>
          <w:b/>
          <w:sz w:val="24"/>
          <w:szCs w:val="24"/>
        </w:rPr>
      </w:pPr>
      <w:r w:rsidRPr="008B1467">
        <w:rPr>
          <w:rStyle w:val="A6"/>
          <w:rFonts w:cstheme="minorHAnsi"/>
          <w:b/>
          <w:sz w:val="24"/>
          <w:szCs w:val="24"/>
        </w:rPr>
        <w:t>Il calendario dei Live show:</w:t>
      </w:r>
    </w:p>
    <w:p w:rsidR="00EB5943" w:rsidRPr="001C3C44" w:rsidRDefault="00EB5943" w:rsidP="001C3C44">
      <w:pPr>
        <w:spacing w:after="0" w:line="240" w:lineRule="auto"/>
        <w:jc w:val="both"/>
        <w:rPr>
          <w:rStyle w:val="A6"/>
          <w:rFonts w:cstheme="minorHAnsi"/>
          <w:sz w:val="24"/>
          <w:szCs w:val="24"/>
        </w:rPr>
      </w:pPr>
    </w:p>
    <w:p w:rsidR="00923F49" w:rsidRPr="001C3C44" w:rsidRDefault="00EB5943" w:rsidP="001C3C44">
      <w:pPr>
        <w:spacing w:after="0" w:line="240" w:lineRule="auto"/>
        <w:jc w:val="both"/>
        <w:rPr>
          <w:rStyle w:val="A6"/>
          <w:rFonts w:cstheme="minorHAnsi"/>
          <w:sz w:val="24"/>
          <w:szCs w:val="24"/>
        </w:rPr>
      </w:pPr>
      <w:r w:rsidRPr="001C3C44">
        <w:rPr>
          <w:rStyle w:val="A6"/>
          <w:rFonts w:cstheme="minorHAnsi"/>
          <w:sz w:val="24"/>
          <w:szCs w:val="24"/>
        </w:rPr>
        <w:t xml:space="preserve">Dedicato alle regioni </w:t>
      </w:r>
      <w:r w:rsidR="00923F49" w:rsidRPr="001C3C44">
        <w:rPr>
          <w:rStyle w:val="A6"/>
          <w:rFonts w:cstheme="minorHAnsi"/>
          <w:sz w:val="24"/>
          <w:szCs w:val="24"/>
        </w:rPr>
        <w:t>Abruzzo, Basilicata, Calabria, Campania, Molise, Puglia, Sardegna, Sicilia.</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Sostenibilità e consumo responsabile – 7 Aprile,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Gestione dei risparmi e budget personale – 21 Aprile,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Risparmi e Consumi tra nuovi trend e strumenti utili 26 Maggio, dalle 11.00 alle 12.30</w:t>
      </w:r>
    </w:p>
    <w:p w:rsidR="00923F49" w:rsidRPr="001C3C44" w:rsidRDefault="00923F49" w:rsidP="001C3C44">
      <w:pPr>
        <w:spacing w:after="0" w:line="240" w:lineRule="auto"/>
        <w:jc w:val="both"/>
        <w:rPr>
          <w:rStyle w:val="A6"/>
          <w:rFonts w:cstheme="minorHAnsi"/>
          <w:sz w:val="24"/>
          <w:szCs w:val="24"/>
        </w:rPr>
      </w:pPr>
    </w:p>
    <w:p w:rsidR="00923F49" w:rsidRPr="001C3C44" w:rsidRDefault="00EB5943" w:rsidP="001C3C44">
      <w:pPr>
        <w:spacing w:after="0" w:line="240" w:lineRule="auto"/>
        <w:jc w:val="both"/>
        <w:rPr>
          <w:rStyle w:val="A6"/>
          <w:rFonts w:cstheme="minorHAnsi"/>
          <w:sz w:val="24"/>
          <w:szCs w:val="24"/>
        </w:rPr>
      </w:pPr>
      <w:r w:rsidRPr="001C3C44">
        <w:rPr>
          <w:rStyle w:val="A6"/>
          <w:rFonts w:cstheme="minorHAnsi"/>
          <w:sz w:val="24"/>
          <w:szCs w:val="24"/>
        </w:rPr>
        <w:t xml:space="preserve">Dedicato alle regioni </w:t>
      </w:r>
      <w:r w:rsidR="00923F49" w:rsidRPr="001C3C44">
        <w:rPr>
          <w:rStyle w:val="A6"/>
          <w:rFonts w:cstheme="minorHAnsi"/>
          <w:sz w:val="24"/>
          <w:szCs w:val="24"/>
        </w:rPr>
        <w:t>Lazio, Marche, Toscana, Umbria.</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Sostenibilità e consumo responsabile – 28 aprile,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Gestione dei risparmi e budget personale – 12 maggio ,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Risparmi e Consumi tra nuovi trend e strumenti utili – 26 Maggio, dalle 11.00 alle 12.30</w:t>
      </w:r>
    </w:p>
    <w:p w:rsidR="00923F49" w:rsidRPr="001C3C44" w:rsidRDefault="00923F49" w:rsidP="001C3C44">
      <w:pPr>
        <w:spacing w:after="0" w:line="240" w:lineRule="auto"/>
        <w:jc w:val="both"/>
        <w:rPr>
          <w:rStyle w:val="A6"/>
          <w:rFonts w:cstheme="minorHAnsi"/>
          <w:sz w:val="24"/>
          <w:szCs w:val="24"/>
        </w:rPr>
      </w:pPr>
    </w:p>
    <w:p w:rsidR="00923F49" w:rsidRPr="001C3C44" w:rsidRDefault="00EB5943" w:rsidP="001C3C44">
      <w:pPr>
        <w:spacing w:after="0" w:line="240" w:lineRule="auto"/>
        <w:jc w:val="both"/>
        <w:rPr>
          <w:rStyle w:val="A6"/>
          <w:rFonts w:cstheme="minorHAnsi"/>
          <w:sz w:val="24"/>
          <w:szCs w:val="24"/>
        </w:rPr>
      </w:pPr>
      <w:r w:rsidRPr="001C3C44">
        <w:rPr>
          <w:rStyle w:val="A6"/>
          <w:rFonts w:cstheme="minorHAnsi"/>
          <w:sz w:val="24"/>
          <w:szCs w:val="24"/>
        </w:rPr>
        <w:t xml:space="preserve">Dedicato alle regioni </w:t>
      </w:r>
      <w:r w:rsidR="00923F49" w:rsidRPr="001C3C44">
        <w:rPr>
          <w:rStyle w:val="A6"/>
          <w:rFonts w:cstheme="minorHAnsi"/>
          <w:sz w:val="24"/>
          <w:szCs w:val="24"/>
        </w:rPr>
        <w:t>Liguria, Lombardia, Piemonte, Valle d’Aosta, Emilia-Romagna, Friuli-Venezia Giulia, Trentino-Alto Adige, Veneto.</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Gestione del risparmio e budget personale – 5 aprile,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Sostenibilità e consumo responsabile – 17 maggio,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 Risparmi e consumi tra nuovi trend e strumenti utili – 26 maggio, dalle 11.00 alle 12.30</w:t>
      </w:r>
    </w:p>
    <w:p w:rsidR="00923F49" w:rsidRPr="001C3C44" w:rsidRDefault="00923F49" w:rsidP="001C3C44">
      <w:pPr>
        <w:spacing w:after="0" w:line="240" w:lineRule="auto"/>
        <w:jc w:val="both"/>
        <w:rPr>
          <w:rStyle w:val="A6"/>
          <w:rFonts w:cstheme="minorHAnsi"/>
          <w:sz w:val="24"/>
          <w:szCs w:val="24"/>
        </w:rPr>
      </w:pP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Tutti gli studenti di tutte le scuole di tutte le Regioni possono inoltre partecipare a un webinar a scelta tra:</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Finanza “</w:t>
      </w:r>
      <w:proofErr w:type="spellStart"/>
      <w:r w:rsidRPr="001C3C44">
        <w:rPr>
          <w:rStyle w:val="A6"/>
          <w:rFonts w:cstheme="minorHAnsi"/>
          <w:sz w:val="24"/>
          <w:szCs w:val="24"/>
        </w:rPr>
        <w:t>Crowd</w:t>
      </w:r>
      <w:proofErr w:type="spellEnd"/>
      <w:r w:rsidRPr="001C3C44">
        <w:rPr>
          <w:rStyle w:val="A6"/>
          <w:rFonts w:cstheme="minorHAnsi"/>
          <w:sz w:val="24"/>
          <w:szCs w:val="24"/>
        </w:rPr>
        <w:t>” – 12 aprile,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Microcredito – 5 maggio, dalle 11.00 alle 12.30</w:t>
      </w:r>
    </w:p>
    <w:p w:rsidR="00923F49" w:rsidRPr="001C3C44" w:rsidRDefault="00923F49" w:rsidP="001C3C44">
      <w:pPr>
        <w:spacing w:after="0" w:line="240" w:lineRule="auto"/>
        <w:jc w:val="both"/>
        <w:rPr>
          <w:rStyle w:val="A6"/>
          <w:rFonts w:cstheme="minorHAnsi"/>
          <w:sz w:val="24"/>
          <w:szCs w:val="24"/>
        </w:rPr>
      </w:pPr>
      <w:r w:rsidRPr="001C3C44">
        <w:rPr>
          <w:rStyle w:val="A6"/>
          <w:rFonts w:cstheme="minorHAnsi"/>
          <w:sz w:val="24"/>
          <w:szCs w:val="24"/>
        </w:rPr>
        <w:t>Microcredito – 19 maggio, dalle 11.00 alle 12.30</w:t>
      </w:r>
      <w:r w:rsidR="00EB5943" w:rsidRPr="001C3C44">
        <w:rPr>
          <w:rStyle w:val="A6"/>
          <w:rFonts w:cstheme="minorHAnsi"/>
          <w:sz w:val="24"/>
          <w:szCs w:val="24"/>
        </w:rPr>
        <w:t>.</w:t>
      </w:r>
    </w:p>
    <w:p w:rsidR="00F34A73" w:rsidRPr="001C3C44" w:rsidRDefault="00F34A73" w:rsidP="001C3C44">
      <w:pPr>
        <w:spacing w:after="0" w:line="240" w:lineRule="auto"/>
        <w:jc w:val="both"/>
        <w:rPr>
          <w:rStyle w:val="A6"/>
          <w:rFonts w:cstheme="minorHAnsi"/>
          <w:sz w:val="24"/>
          <w:szCs w:val="24"/>
        </w:rPr>
      </w:pPr>
    </w:p>
    <w:p w:rsidR="00F34A73" w:rsidRPr="001C3C44" w:rsidRDefault="00F34A73" w:rsidP="001C3C44">
      <w:pPr>
        <w:spacing w:after="0" w:line="240" w:lineRule="auto"/>
        <w:jc w:val="both"/>
        <w:rPr>
          <w:rStyle w:val="A6"/>
          <w:rFonts w:cstheme="minorHAnsi"/>
          <w:sz w:val="24"/>
          <w:szCs w:val="24"/>
        </w:rPr>
      </w:pPr>
      <w:r w:rsidRPr="001C3C44">
        <w:rPr>
          <w:rStyle w:val="A6"/>
          <w:rFonts w:cstheme="minorHAnsi"/>
          <w:sz w:val="24"/>
          <w:szCs w:val="24"/>
        </w:rPr>
        <w:t>Per partecipare ai live show</w:t>
      </w:r>
    </w:p>
    <w:p w:rsidR="00F34A73" w:rsidRPr="001C3C44" w:rsidRDefault="001C3C44" w:rsidP="001C3C44">
      <w:pPr>
        <w:spacing w:after="0" w:line="240" w:lineRule="auto"/>
        <w:jc w:val="both"/>
        <w:rPr>
          <w:rStyle w:val="A6"/>
          <w:rFonts w:cstheme="minorHAnsi"/>
          <w:sz w:val="24"/>
          <w:szCs w:val="24"/>
        </w:rPr>
      </w:pPr>
      <w:r w:rsidRPr="001C3C44">
        <w:rPr>
          <w:rFonts w:cstheme="minorHAnsi"/>
          <w:noProof/>
          <w:sz w:val="24"/>
          <w:szCs w:val="24"/>
          <w:lang w:eastAsia="it-IT"/>
        </w:rPr>
        <w:drawing>
          <wp:anchor distT="0" distB="0" distL="114300" distR="114300" simplePos="0" relativeHeight="251658240" behindDoc="1" locked="0" layoutInCell="1" allowOverlap="1">
            <wp:simplePos x="0" y="0"/>
            <wp:positionH relativeFrom="margin">
              <wp:posOffset>461010</wp:posOffset>
            </wp:positionH>
            <wp:positionV relativeFrom="paragraph">
              <wp:posOffset>7620</wp:posOffset>
            </wp:positionV>
            <wp:extent cx="4521200" cy="3348446"/>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3471" cy="3350128"/>
                    </a:xfrm>
                    <a:prstGeom prst="rect">
                      <a:avLst/>
                    </a:prstGeom>
                    <a:noFill/>
                    <a:ln>
                      <a:noFill/>
                    </a:ln>
                  </pic:spPr>
                </pic:pic>
              </a:graphicData>
            </a:graphic>
          </wp:anchor>
        </w:drawing>
      </w:r>
    </w:p>
    <w:p w:rsidR="00EB5943" w:rsidRPr="001C3C44" w:rsidRDefault="00EB5943" w:rsidP="001C3C44">
      <w:pPr>
        <w:spacing w:after="0" w:line="240" w:lineRule="auto"/>
        <w:jc w:val="both"/>
        <w:rPr>
          <w:rStyle w:val="A6"/>
          <w:rFonts w:cstheme="minorHAnsi"/>
          <w:sz w:val="24"/>
          <w:szCs w:val="24"/>
        </w:rPr>
      </w:pPr>
    </w:p>
    <w:p w:rsidR="001C3C44" w:rsidRDefault="001C3C44">
      <w:pPr>
        <w:rPr>
          <w:rStyle w:val="A6"/>
          <w:rFonts w:cstheme="minorHAnsi"/>
          <w:b/>
          <w:bCs/>
          <w:sz w:val="24"/>
          <w:szCs w:val="24"/>
        </w:rPr>
      </w:pPr>
      <w:r>
        <w:rPr>
          <w:rStyle w:val="A6"/>
          <w:rFonts w:cstheme="minorHAnsi"/>
          <w:b/>
          <w:bCs/>
          <w:sz w:val="24"/>
          <w:szCs w:val="24"/>
        </w:rPr>
        <w:br w:type="page"/>
      </w:r>
    </w:p>
    <w:p w:rsidR="00D51548" w:rsidRPr="001C3C44" w:rsidRDefault="00F34A73" w:rsidP="001C3C44">
      <w:pPr>
        <w:spacing w:after="0" w:line="240" w:lineRule="auto"/>
        <w:rPr>
          <w:rStyle w:val="A6"/>
          <w:rFonts w:cstheme="minorHAnsi"/>
          <w:b/>
          <w:bCs/>
          <w:sz w:val="24"/>
          <w:szCs w:val="24"/>
        </w:rPr>
      </w:pPr>
      <w:r w:rsidRPr="001C3C44">
        <w:rPr>
          <w:rStyle w:val="A6"/>
          <w:rFonts w:cstheme="minorHAnsi"/>
          <w:b/>
          <w:bCs/>
          <w:sz w:val="24"/>
          <w:szCs w:val="24"/>
        </w:rPr>
        <w:lastRenderedPageBreak/>
        <w:t>I moduli formativi</w:t>
      </w:r>
    </w:p>
    <w:p w:rsidR="001C3C44" w:rsidRDefault="001C3C44" w:rsidP="001C3C44">
      <w:pPr>
        <w:spacing w:after="0" w:line="240" w:lineRule="auto"/>
        <w:jc w:val="both"/>
        <w:rPr>
          <w:rStyle w:val="A6"/>
          <w:rFonts w:cstheme="minorHAnsi"/>
          <w:sz w:val="24"/>
          <w:szCs w:val="24"/>
        </w:rPr>
      </w:pPr>
    </w:p>
    <w:p w:rsidR="00AA267F" w:rsidRPr="001C3C44" w:rsidRDefault="00AA267F" w:rsidP="001C3C44">
      <w:pPr>
        <w:spacing w:after="0" w:line="240" w:lineRule="auto"/>
        <w:jc w:val="both"/>
        <w:rPr>
          <w:rStyle w:val="A6"/>
          <w:rFonts w:cstheme="minorHAnsi"/>
          <w:sz w:val="24"/>
          <w:szCs w:val="24"/>
        </w:rPr>
      </w:pPr>
      <w:r w:rsidRPr="001C3C44">
        <w:rPr>
          <w:rStyle w:val="A6"/>
          <w:rFonts w:cstheme="minorHAnsi"/>
          <w:sz w:val="24"/>
          <w:szCs w:val="24"/>
        </w:rPr>
        <w:t>I 10 temi trattati dai singoli moduli presenti nel percorso e-learning sono:</w:t>
      </w:r>
    </w:p>
    <w:p w:rsidR="00072CFA" w:rsidRPr="001C3C44" w:rsidRDefault="00AA267F" w:rsidP="001C3C44">
      <w:pPr>
        <w:pStyle w:val="Paragrafoelenco"/>
        <w:numPr>
          <w:ilvl w:val="0"/>
          <w:numId w:val="1"/>
        </w:numPr>
        <w:spacing w:after="0" w:line="240" w:lineRule="auto"/>
        <w:contextualSpacing w:val="0"/>
        <w:jc w:val="both"/>
        <w:rPr>
          <w:rFonts w:cstheme="minorHAnsi"/>
          <w:color w:val="000000"/>
          <w:sz w:val="24"/>
          <w:szCs w:val="24"/>
        </w:rPr>
      </w:pPr>
      <w:r w:rsidRPr="001C3C44">
        <w:rPr>
          <w:rStyle w:val="A6"/>
          <w:rFonts w:cstheme="minorHAnsi"/>
          <w:b/>
          <w:bCs/>
          <w:sz w:val="24"/>
          <w:szCs w:val="24"/>
        </w:rPr>
        <w:t>L’indipendenza finanziaria</w:t>
      </w:r>
      <w:r w:rsidR="004D10EE" w:rsidRPr="001C3C44">
        <w:rPr>
          <w:rStyle w:val="A6"/>
          <w:rFonts w:cstheme="minorHAnsi"/>
          <w:sz w:val="24"/>
          <w:szCs w:val="24"/>
        </w:rPr>
        <w:t xml:space="preserve">: </w:t>
      </w:r>
      <w:r w:rsidR="004D10EE" w:rsidRPr="001C3C44">
        <w:rPr>
          <w:rFonts w:cstheme="minorHAnsi"/>
          <w:sz w:val="24"/>
          <w:szCs w:val="24"/>
        </w:rPr>
        <w:t>il valore della moneta, il significato di pianificazione finanziaria e di indipendenza finanziaria, nel corso dei diversi momenti della vita che contano, acquisto a rate e con il mutuo</w:t>
      </w:r>
      <w:r w:rsidR="007E6EBF" w:rsidRPr="001C3C44">
        <w:rPr>
          <w:rFonts w:cstheme="minorHAnsi"/>
          <w:sz w:val="24"/>
          <w:szCs w:val="24"/>
        </w:rPr>
        <w:t xml:space="preserve">. Trailer del video: </w:t>
      </w:r>
    </w:p>
    <w:p w:rsidR="00AA267F" w:rsidRPr="001C3C44" w:rsidRDefault="00F9167E" w:rsidP="001C3C44">
      <w:pPr>
        <w:pStyle w:val="Paragrafoelenco"/>
        <w:spacing w:after="0" w:line="240" w:lineRule="auto"/>
        <w:contextualSpacing w:val="0"/>
        <w:jc w:val="both"/>
        <w:rPr>
          <w:rFonts w:cstheme="minorHAnsi"/>
          <w:sz w:val="24"/>
          <w:szCs w:val="24"/>
        </w:rPr>
      </w:pPr>
      <w:hyperlink r:id="rId8" w:history="1">
        <w:r w:rsidR="00D51548" w:rsidRPr="001C3C44">
          <w:rPr>
            <w:rStyle w:val="Collegamentoipertestuale"/>
            <w:rFonts w:cstheme="minorHAnsi"/>
            <w:sz w:val="24"/>
            <w:szCs w:val="24"/>
          </w:rPr>
          <w:t>https://drive.google.com/file/d/1rRJjDpSO1wlYJ99GjBJ77a8lBpOAVlm_/view?usp=sharing</w:t>
        </w:r>
      </w:hyperlink>
    </w:p>
    <w:p w:rsidR="00D51548" w:rsidRPr="001C3C44" w:rsidRDefault="00D51548" w:rsidP="001C3C44">
      <w:pPr>
        <w:pStyle w:val="Paragrafoelenco"/>
        <w:spacing w:after="0" w:line="240" w:lineRule="auto"/>
        <w:contextualSpacing w:val="0"/>
        <w:jc w:val="both"/>
        <w:rPr>
          <w:rStyle w:val="A6"/>
          <w:rFonts w:cstheme="minorHAnsi"/>
          <w:sz w:val="24"/>
          <w:szCs w:val="24"/>
        </w:rPr>
      </w:pPr>
    </w:p>
    <w:p w:rsidR="00072CFA" w:rsidRPr="001C3C44" w:rsidRDefault="00AA267F" w:rsidP="001C3C44">
      <w:pPr>
        <w:pStyle w:val="Paragrafoelenco"/>
        <w:numPr>
          <w:ilvl w:val="0"/>
          <w:numId w:val="1"/>
        </w:numPr>
        <w:spacing w:after="0" w:line="240" w:lineRule="auto"/>
        <w:contextualSpacing w:val="0"/>
        <w:jc w:val="both"/>
        <w:rPr>
          <w:rFonts w:cstheme="minorHAnsi"/>
          <w:color w:val="000000"/>
          <w:sz w:val="24"/>
          <w:szCs w:val="24"/>
        </w:rPr>
      </w:pPr>
      <w:r w:rsidRPr="001C3C44">
        <w:rPr>
          <w:rStyle w:val="A6"/>
          <w:rFonts w:cstheme="minorHAnsi"/>
          <w:b/>
          <w:bCs/>
          <w:sz w:val="24"/>
          <w:szCs w:val="24"/>
        </w:rPr>
        <w:t>Il benessere finanziario</w:t>
      </w:r>
      <w:r w:rsidR="004D10EE" w:rsidRPr="001C3C44">
        <w:rPr>
          <w:rStyle w:val="A6"/>
          <w:rFonts w:cstheme="minorHAnsi"/>
          <w:sz w:val="24"/>
          <w:szCs w:val="24"/>
        </w:rPr>
        <w:t xml:space="preserve">: </w:t>
      </w:r>
      <w:r w:rsidR="004D10EE" w:rsidRPr="001C3C44">
        <w:rPr>
          <w:rFonts w:cstheme="minorHAnsi"/>
          <w:sz w:val="24"/>
          <w:szCs w:val="24"/>
        </w:rPr>
        <w:t xml:space="preserve">il benessere finanziario viene declinato partendo dalla domanda: “Quanti tipi di bisogni abbiamo”. Si risponde facendo riferimento al metodo della </w:t>
      </w:r>
      <w:r w:rsidR="004D10EE" w:rsidRPr="001C3C44">
        <w:rPr>
          <w:rFonts w:cstheme="minorHAnsi"/>
          <w:b/>
          <w:sz w:val="24"/>
          <w:szCs w:val="24"/>
        </w:rPr>
        <w:t>“piramide dei bisogni”</w:t>
      </w:r>
      <w:r w:rsidR="004D10EE" w:rsidRPr="001C3C44">
        <w:rPr>
          <w:rFonts w:cstheme="minorHAnsi"/>
          <w:sz w:val="24"/>
          <w:szCs w:val="24"/>
        </w:rPr>
        <w:t xml:space="preserve"> di Maslow. Mediante esempi elementari si introducono i concetti di bisogno primario (base della piramide) e di bisogni sempre più immateriali (bisogni di appartenenza, stima e autorevolezza), via via che si sale verso il vertice della piramide. Si introduce il metodo S.M.A.R.T.: l’obiettivo deve essere </w:t>
      </w:r>
      <w:r w:rsidR="004D10EE" w:rsidRPr="001C3C44">
        <w:rPr>
          <w:rFonts w:cstheme="minorHAnsi"/>
          <w:i/>
          <w:sz w:val="24"/>
          <w:szCs w:val="24"/>
        </w:rPr>
        <w:t>chiaro, misurabile, raggiungibile, realistico e temporalmente definito</w:t>
      </w:r>
      <w:r w:rsidR="004D10EE" w:rsidRPr="001C3C44">
        <w:rPr>
          <w:rFonts w:cstheme="minorHAnsi"/>
          <w:sz w:val="24"/>
          <w:szCs w:val="24"/>
        </w:rPr>
        <w:t>. Un obiettivo è valido se evita conseguenze negative quale ad es. uno shock finanziario (per una spesa imprevista).</w:t>
      </w:r>
    </w:p>
    <w:p w:rsidR="00072CFA" w:rsidRPr="001C3C44" w:rsidRDefault="007E6EBF" w:rsidP="001C3C44">
      <w:pPr>
        <w:pStyle w:val="Paragrafoelenco"/>
        <w:spacing w:after="0" w:line="240" w:lineRule="auto"/>
        <w:contextualSpacing w:val="0"/>
        <w:jc w:val="both"/>
        <w:rPr>
          <w:rFonts w:cstheme="minorHAnsi"/>
          <w:sz w:val="24"/>
          <w:szCs w:val="24"/>
        </w:rPr>
      </w:pPr>
      <w:r w:rsidRPr="001C3C44">
        <w:rPr>
          <w:rFonts w:cstheme="minorHAnsi"/>
          <w:sz w:val="24"/>
          <w:szCs w:val="24"/>
        </w:rPr>
        <w:t>Trailer del video:</w:t>
      </w:r>
    </w:p>
    <w:p w:rsidR="00AA267F" w:rsidRPr="001C3C44" w:rsidRDefault="00F9167E" w:rsidP="001C3C44">
      <w:pPr>
        <w:pStyle w:val="Paragrafoelenco"/>
        <w:spacing w:after="0" w:line="240" w:lineRule="auto"/>
        <w:contextualSpacing w:val="0"/>
        <w:jc w:val="both"/>
        <w:rPr>
          <w:rFonts w:cstheme="minorHAnsi"/>
          <w:sz w:val="24"/>
          <w:szCs w:val="24"/>
        </w:rPr>
      </w:pPr>
      <w:hyperlink r:id="rId9" w:history="1">
        <w:r w:rsidR="00D51548" w:rsidRPr="001C3C44">
          <w:rPr>
            <w:rStyle w:val="Collegamentoipertestuale"/>
            <w:rFonts w:cstheme="minorHAnsi"/>
            <w:sz w:val="24"/>
            <w:szCs w:val="24"/>
          </w:rPr>
          <w:t>https://drive.google.com/file/d/1zEGjV7F3kb_Xm-g2v8QtPgkJ9g_WWnHE/view?usp=sharing</w:t>
        </w:r>
      </w:hyperlink>
    </w:p>
    <w:p w:rsidR="00D51548" w:rsidRPr="001C3C44" w:rsidRDefault="00D51548" w:rsidP="001C3C44">
      <w:pPr>
        <w:pStyle w:val="Paragrafoelenco"/>
        <w:spacing w:after="0" w:line="240" w:lineRule="auto"/>
        <w:contextualSpacing w:val="0"/>
        <w:jc w:val="both"/>
        <w:rPr>
          <w:rStyle w:val="A6"/>
          <w:rFonts w:cstheme="minorHAnsi"/>
          <w:sz w:val="24"/>
          <w:szCs w:val="24"/>
        </w:rPr>
      </w:pPr>
    </w:p>
    <w:p w:rsidR="00072CFA" w:rsidRPr="001C3C44" w:rsidRDefault="00AA267F" w:rsidP="001C3C44">
      <w:pPr>
        <w:pStyle w:val="Paragrafoelenco"/>
        <w:numPr>
          <w:ilvl w:val="0"/>
          <w:numId w:val="1"/>
        </w:numPr>
        <w:spacing w:after="0" w:line="240" w:lineRule="auto"/>
        <w:contextualSpacing w:val="0"/>
        <w:jc w:val="both"/>
        <w:rPr>
          <w:rStyle w:val="A6"/>
          <w:rFonts w:cstheme="minorHAnsi"/>
          <w:sz w:val="24"/>
          <w:szCs w:val="24"/>
        </w:rPr>
      </w:pPr>
      <w:r w:rsidRPr="001C3C44">
        <w:rPr>
          <w:rStyle w:val="A6"/>
          <w:rFonts w:cstheme="minorHAnsi"/>
          <w:b/>
          <w:bCs/>
          <w:sz w:val="24"/>
          <w:szCs w:val="24"/>
        </w:rPr>
        <w:t>Acquisti online</w:t>
      </w:r>
      <w:r w:rsidR="004D10EE" w:rsidRPr="001C3C44">
        <w:rPr>
          <w:rStyle w:val="A6"/>
          <w:rFonts w:cstheme="minorHAnsi"/>
          <w:sz w:val="24"/>
          <w:szCs w:val="24"/>
        </w:rPr>
        <w:t>: L’Acquisto on line di un nuovo prodotto e le raccomandazioni per evitare le truffe e per valutare l’affidabilità del venditore nonché della modalità di pagamento on line richiesto (ad es. nella URL del sito deve essere presente “https”, la “s” di “sicurezza”). Cosa fare in caso di prodotto difettoso, alla non conformità del prodotto richiesto, alle modalità di reclamo ed al diritto di recesso. La compravendita di beni usati (cd. second hand economy): vengono forniti suggerimenti utili ad elaborare un annuncio di vendita, a scegliere tra i diversi sistemi di pagamento (preferendo quelli tracciabili, come il bonifico) ed a fornire gli elementi per procedere al confronto tra annunci di vendita a contenuto diverso ma relativi ad un medesimo prodotto.</w:t>
      </w:r>
    </w:p>
    <w:p w:rsidR="00072CFA" w:rsidRPr="001C3C44" w:rsidRDefault="007E6EBF" w:rsidP="001C3C44">
      <w:pPr>
        <w:pStyle w:val="Paragrafoelenco"/>
        <w:spacing w:after="0" w:line="240" w:lineRule="auto"/>
        <w:contextualSpacing w:val="0"/>
        <w:jc w:val="both"/>
        <w:rPr>
          <w:rFonts w:cstheme="minorHAnsi"/>
          <w:sz w:val="24"/>
          <w:szCs w:val="24"/>
        </w:rPr>
      </w:pPr>
      <w:r w:rsidRPr="001C3C44">
        <w:rPr>
          <w:rFonts w:cstheme="minorHAnsi"/>
          <w:sz w:val="24"/>
          <w:szCs w:val="24"/>
        </w:rPr>
        <w:t>Trailer del video:</w:t>
      </w:r>
    </w:p>
    <w:p w:rsidR="001C3C44" w:rsidRDefault="00F9167E" w:rsidP="001C3C44">
      <w:pPr>
        <w:pStyle w:val="Paragrafoelenco"/>
        <w:spacing w:after="0" w:line="240" w:lineRule="auto"/>
        <w:contextualSpacing w:val="0"/>
        <w:jc w:val="both"/>
        <w:rPr>
          <w:rStyle w:val="A6"/>
          <w:rFonts w:cstheme="minorHAnsi"/>
          <w:sz w:val="24"/>
          <w:szCs w:val="24"/>
        </w:rPr>
      </w:pPr>
      <w:hyperlink r:id="rId10" w:history="1">
        <w:r w:rsidR="00D51548" w:rsidRPr="001C3C44">
          <w:rPr>
            <w:rStyle w:val="Collegamentoipertestuale"/>
            <w:rFonts w:cstheme="minorHAnsi"/>
            <w:sz w:val="24"/>
            <w:szCs w:val="24"/>
          </w:rPr>
          <w:t>https://drive.google.com/file/d/1-LUkxmNhZIMrtvpjWtPWmHZQA1YMH6YR/view?usp=sharing</w:t>
        </w:r>
      </w:hyperlink>
    </w:p>
    <w:p w:rsidR="001C3C44" w:rsidRDefault="001C3C44">
      <w:pPr>
        <w:rPr>
          <w:rStyle w:val="A6"/>
          <w:rFonts w:cstheme="minorHAnsi"/>
          <w:sz w:val="24"/>
          <w:szCs w:val="24"/>
        </w:rPr>
      </w:pPr>
      <w:r>
        <w:rPr>
          <w:rStyle w:val="A6"/>
          <w:rFonts w:cstheme="minorHAnsi"/>
          <w:sz w:val="24"/>
          <w:szCs w:val="24"/>
        </w:rPr>
        <w:br w:type="page"/>
      </w:r>
    </w:p>
    <w:p w:rsidR="00D51548" w:rsidRPr="001C3C44" w:rsidRDefault="00D51548" w:rsidP="001C3C44">
      <w:pPr>
        <w:pStyle w:val="Paragrafoelenco"/>
        <w:spacing w:after="0" w:line="240" w:lineRule="auto"/>
        <w:contextualSpacing w:val="0"/>
        <w:jc w:val="both"/>
        <w:rPr>
          <w:rStyle w:val="A6"/>
          <w:rFonts w:cstheme="minorHAnsi"/>
          <w:sz w:val="24"/>
          <w:szCs w:val="24"/>
        </w:rPr>
      </w:pPr>
    </w:p>
    <w:p w:rsidR="00AA267F" w:rsidRPr="001C3C44" w:rsidRDefault="00AA267F" w:rsidP="001C3C44">
      <w:pPr>
        <w:pStyle w:val="Paragrafoelenco"/>
        <w:spacing w:after="0" w:line="240" w:lineRule="auto"/>
        <w:contextualSpacing w:val="0"/>
        <w:jc w:val="both"/>
        <w:rPr>
          <w:rStyle w:val="A6"/>
          <w:rFonts w:cstheme="minorHAnsi"/>
          <w:sz w:val="24"/>
          <w:szCs w:val="24"/>
        </w:rPr>
      </w:pPr>
    </w:p>
    <w:p w:rsidR="00D7720D" w:rsidRPr="001C3C44" w:rsidRDefault="00AA267F" w:rsidP="001C3C44">
      <w:pPr>
        <w:pStyle w:val="Paragrafoelenco"/>
        <w:numPr>
          <w:ilvl w:val="0"/>
          <w:numId w:val="1"/>
        </w:numPr>
        <w:spacing w:after="0" w:line="240" w:lineRule="auto"/>
        <w:contextualSpacing w:val="0"/>
        <w:jc w:val="both"/>
        <w:rPr>
          <w:rFonts w:cstheme="minorHAnsi"/>
          <w:bCs/>
          <w:sz w:val="24"/>
          <w:szCs w:val="24"/>
        </w:rPr>
      </w:pPr>
      <w:r w:rsidRPr="001C3C44">
        <w:rPr>
          <w:rStyle w:val="A6"/>
          <w:rFonts w:cstheme="minorHAnsi"/>
          <w:b/>
          <w:bCs/>
          <w:sz w:val="24"/>
          <w:szCs w:val="24"/>
        </w:rPr>
        <w:t>Strumenti di pagamento tradizionali e innovativi</w:t>
      </w:r>
      <w:r w:rsidR="004D10EE" w:rsidRPr="001C3C44">
        <w:rPr>
          <w:rStyle w:val="A6"/>
          <w:rFonts w:cstheme="minorHAnsi"/>
          <w:sz w:val="24"/>
          <w:szCs w:val="24"/>
        </w:rPr>
        <w:t xml:space="preserve"> e </w:t>
      </w:r>
      <w:r w:rsidR="004D10EE" w:rsidRPr="001C3C44">
        <w:rPr>
          <w:rFonts w:cstheme="minorHAnsi"/>
          <w:b/>
          <w:sz w:val="24"/>
          <w:szCs w:val="24"/>
        </w:rPr>
        <w:t>alternativi alla moneta contante</w:t>
      </w:r>
      <w:r w:rsidR="00D7720D" w:rsidRPr="001C3C44">
        <w:rPr>
          <w:rFonts w:cstheme="minorHAnsi"/>
          <w:b/>
          <w:sz w:val="24"/>
          <w:szCs w:val="24"/>
        </w:rPr>
        <w:t xml:space="preserve">: </w:t>
      </w:r>
      <w:r w:rsidR="00D7720D" w:rsidRPr="001C3C44">
        <w:rPr>
          <w:rFonts w:cstheme="minorHAnsi"/>
          <w:bCs/>
          <w:sz w:val="24"/>
          <w:szCs w:val="24"/>
        </w:rPr>
        <w:t>dell’assegno bancario e di quello circolare per passare alla modalità di accredito su conto corrente (identificato dall’IBAN), le carte di pagamento (carta di debito, carta di credito, carta pre-pagata, carta conto), i pagamenti elettronici e la possibilità di trasferimento di denaro, tra soggetti diversi, mediante dispositivi elettronici  (pc, smartphone), alle forme di pagamento elettronico e digital money  (bitcoin e cripto valute).  Si sottolinea anche che è fondamentale essere e rimanere un “buon pagatore”, avere cioè una buona reputazione finanziaria per evitare conseguenze sfavorevoli (come ad es. pignoramento dei beni, ritiro della carta di credito, l’iscrizione negli elenchi degli istituti intermediari dei “cattivi pagatori” o, ancora, una risposta negativa alla richiesta di un prestito).</w:t>
      </w:r>
    </w:p>
    <w:p w:rsidR="00072CFA" w:rsidRPr="001C3C44" w:rsidRDefault="007E6EBF" w:rsidP="001C3C44">
      <w:pPr>
        <w:pStyle w:val="Paragrafoelenco"/>
        <w:spacing w:after="0" w:line="240" w:lineRule="auto"/>
        <w:contextualSpacing w:val="0"/>
        <w:jc w:val="both"/>
        <w:rPr>
          <w:rFonts w:cstheme="minorHAnsi"/>
          <w:sz w:val="24"/>
          <w:szCs w:val="24"/>
        </w:rPr>
      </w:pPr>
      <w:r w:rsidRPr="001C3C44">
        <w:rPr>
          <w:rFonts w:cstheme="minorHAnsi"/>
          <w:sz w:val="24"/>
          <w:szCs w:val="24"/>
        </w:rPr>
        <w:t>Trailer del video:</w:t>
      </w:r>
    </w:p>
    <w:p w:rsidR="007E6EBF" w:rsidRPr="001C3C44" w:rsidRDefault="00F9167E" w:rsidP="001C3C44">
      <w:pPr>
        <w:pStyle w:val="Paragrafoelenco"/>
        <w:spacing w:after="0" w:line="240" w:lineRule="auto"/>
        <w:contextualSpacing w:val="0"/>
        <w:jc w:val="both"/>
        <w:rPr>
          <w:rFonts w:cstheme="minorHAnsi"/>
          <w:sz w:val="24"/>
          <w:szCs w:val="24"/>
        </w:rPr>
      </w:pPr>
      <w:hyperlink r:id="rId11" w:history="1">
        <w:r w:rsidR="00D51548" w:rsidRPr="001C3C44">
          <w:rPr>
            <w:rStyle w:val="Collegamentoipertestuale"/>
            <w:rFonts w:cstheme="minorHAnsi"/>
            <w:sz w:val="24"/>
            <w:szCs w:val="24"/>
          </w:rPr>
          <w:t>https://drive.google.com/file/d/1gLU1-qesnNs_G7_7fE4mw-pFxnm5DdsX/view?usp=sharing</w:t>
        </w:r>
      </w:hyperlink>
    </w:p>
    <w:p w:rsidR="00D51548" w:rsidRPr="001C3C44" w:rsidRDefault="00D51548" w:rsidP="001C3C44">
      <w:pPr>
        <w:pStyle w:val="Paragrafoelenco"/>
        <w:spacing w:after="0" w:line="240" w:lineRule="auto"/>
        <w:contextualSpacing w:val="0"/>
        <w:jc w:val="both"/>
        <w:rPr>
          <w:rFonts w:cstheme="minorHAnsi"/>
          <w:bCs/>
          <w:sz w:val="24"/>
          <w:szCs w:val="24"/>
        </w:rPr>
      </w:pPr>
    </w:p>
    <w:p w:rsidR="00072CFA" w:rsidRPr="001C3C44" w:rsidRDefault="00AA267F" w:rsidP="001C3C44">
      <w:pPr>
        <w:pStyle w:val="Paragrafoelenco"/>
        <w:numPr>
          <w:ilvl w:val="0"/>
          <w:numId w:val="1"/>
        </w:numPr>
        <w:spacing w:after="0" w:line="240" w:lineRule="auto"/>
        <w:contextualSpacing w:val="0"/>
        <w:jc w:val="both"/>
        <w:rPr>
          <w:rFonts w:cstheme="minorHAnsi"/>
          <w:color w:val="000000"/>
          <w:sz w:val="24"/>
          <w:szCs w:val="24"/>
        </w:rPr>
      </w:pPr>
      <w:r w:rsidRPr="001C3C44">
        <w:rPr>
          <w:rStyle w:val="A6"/>
          <w:rFonts w:cstheme="minorHAnsi"/>
          <w:b/>
          <w:bCs/>
          <w:sz w:val="24"/>
          <w:szCs w:val="24"/>
        </w:rPr>
        <w:t>Il microcredito</w:t>
      </w:r>
      <w:r w:rsidR="00D7720D" w:rsidRPr="001C3C44">
        <w:rPr>
          <w:rStyle w:val="A6"/>
          <w:rFonts w:cstheme="minorHAnsi"/>
          <w:b/>
          <w:bCs/>
          <w:sz w:val="24"/>
          <w:szCs w:val="24"/>
        </w:rPr>
        <w:t xml:space="preserve">: </w:t>
      </w:r>
      <w:r w:rsidR="00D7720D" w:rsidRPr="001C3C44">
        <w:rPr>
          <w:rStyle w:val="A6"/>
          <w:rFonts w:cstheme="minorHAnsi"/>
          <w:sz w:val="24"/>
          <w:szCs w:val="24"/>
        </w:rPr>
        <w:t xml:space="preserve">come ottenere dei finanziamenti per i propri progetti imprenditoriali (piccolo e grande imprenditore), ma anche per </w:t>
      </w:r>
      <w:r w:rsidR="00D7720D" w:rsidRPr="001C3C44">
        <w:rPr>
          <w:rFonts w:cstheme="minorHAnsi"/>
          <w:sz w:val="24"/>
          <w:szCs w:val="24"/>
        </w:rPr>
        <w:t xml:space="preserve">anche verso singoli individui (per es. per studiare all’estero - </w:t>
      </w:r>
      <w:hyperlink r:id="rId12">
        <w:r w:rsidR="00D7720D" w:rsidRPr="001C3C44">
          <w:rPr>
            <w:rFonts w:cstheme="minorHAnsi"/>
            <w:color w:val="0000FF"/>
            <w:sz w:val="24"/>
            <w:szCs w:val="24"/>
            <w:u w:val="single"/>
          </w:rPr>
          <w:t>www.politichegiovanili.gov.it</w:t>
        </w:r>
      </w:hyperlink>
      <w:r w:rsidR="00D7720D" w:rsidRPr="001C3C44">
        <w:rPr>
          <w:rFonts w:cstheme="minorHAnsi"/>
          <w:sz w:val="24"/>
          <w:szCs w:val="24"/>
        </w:rPr>
        <w:t>, sezione “Fondo per il credito ai giovani”).</w:t>
      </w:r>
    </w:p>
    <w:p w:rsidR="00072CFA" w:rsidRPr="001C3C44" w:rsidRDefault="003A28C8" w:rsidP="001C3C44">
      <w:pPr>
        <w:pStyle w:val="Paragrafoelenco"/>
        <w:spacing w:after="0" w:line="240" w:lineRule="auto"/>
        <w:contextualSpacing w:val="0"/>
        <w:jc w:val="both"/>
        <w:rPr>
          <w:rFonts w:cstheme="minorHAnsi"/>
          <w:sz w:val="24"/>
          <w:szCs w:val="24"/>
        </w:rPr>
      </w:pPr>
      <w:r w:rsidRPr="001C3C44">
        <w:rPr>
          <w:rFonts w:cstheme="minorHAnsi"/>
          <w:sz w:val="24"/>
          <w:szCs w:val="24"/>
        </w:rPr>
        <w:t xml:space="preserve">Trailer del video: </w:t>
      </w:r>
    </w:p>
    <w:p w:rsidR="00AA267F" w:rsidRPr="001C3C44" w:rsidRDefault="00F9167E" w:rsidP="001C3C44">
      <w:pPr>
        <w:pStyle w:val="Paragrafoelenco"/>
        <w:spacing w:after="0" w:line="240" w:lineRule="auto"/>
        <w:contextualSpacing w:val="0"/>
        <w:jc w:val="both"/>
        <w:rPr>
          <w:rFonts w:cstheme="minorHAnsi"/>
          <w:sz w:val="24"/>
          <w:szCs w:val="24"/>
        </w:rPr>
      </w:pPr>
      <w:hyperlink r:id="rId13" w:history="1">
        <w:r w:rsidR="00D51548" w:rsidRPr="001C3C44">
          <w:rPr>
            <w:rStyle w:val="Collegamentoipertestuale"/>
            <w:rFonts w:cstheme="minorHAnsi"/>
            <w:sz w:val="24"/>
            <w:szCs w:val="24"/>
          </w:rPr>
          <w:t>https://drive.google.com/file/d/1PEB7YE1EIpQ38y_b2xJ92TOf7_8TxnbQ/view?usp=sharing</w:t>
        </w:r>
      </w:hyperlink>
    </w:p>
    <w:p w:rsidR="00D51548" w:rsidRPr="001C3C44" w:rsidRDefault="00D51548" w:rsidP="001C3C44">
      <w:pPr>
        <w:pStyle w:val="Paragrafoelenco"/>
        <w:spacing w:after="0" w:line="240" w:lineRule="auto"/>
        <w:contextualSpacing w:val="0"/>
        <w:jc w:val="both"/>
        <w:rPr>
          <w:rStyle w:val="A6"/>
          <w:rFonts w:cstheme="minorHAnsi"/>
          <w:sz w:val="24"/>
          <w:szCs w:val="24"/>
        </w:rPr>
      </w:pPr>
    </w:p>
    <w:p w:rsidR="00AA267F" w:rsidRPr="001C3C44" w:rsidRDefault="00AA267F" w:rsidP="001C3C44">
      <w:pPr>
        <w:pStyle w:val="Paragrafoelenco"/>
        <w:numPr>
          <w:ilvl w:val="0"/>
          <w:numId w:val="1"/>
        </w:numPr>
        <w:spacing w:after="0" w:line="240" w:lineRule="auto"/>
        <w:contextualSpacing w:val="0"/>
        <w:jc w:val="both"/>
        <w:rPr>
          <w:rFonts w:cstheme="minorHAnsi"/>
          <w:bCs/>
          <w:iCs/>
          <w:color w:val="000000"/>
          <w:sz w:val="24"/>
          <w:szCs w:val="24"/>
        </w:rPr>
      </w:pPr>
      <w:r w:rsidRPr="001C3C44">
        <w:rPr>
          <w:rStyle w:val="A6"/>
          <w:rFonts w:cstheme="minorHAnsi"/>
          <w:b/>
          <w:bCs/>
          <w:sz w:val="24"/>
          <w:szCs w:val="24"/>
        </w:rPr>
        <w:t>Prodotti bancari e finanziari</w:t>
      </w:r>
      <w:r w:rsidR="00D7720D" w:rsidRPr="001C3C44">
        <w:rPr>
          <w:rStyle w:val="A6"/>
          <w:rFonts w:cstheme="minorHAnsi"/>
          <w:sz w:val="24"/>
          <w:szCs w:val="24"/>
        </w:rPr>
        <w:t xml:space="preserve">: </w:t>
      </w:r>
      <w:r w:rsidR="00D7720D" w:rsidRPr="001C3C44">
        <w:rPr>
          <w:rFonts w:cstheme="minorHAnsi"/>
          <w:bCs/>
          <w:iCs/>
          <w:sz w:val="24"/>
          <w:szCs w:val="24"/>
        </w:rPr>
        <w:t>investire i propri risparmi (Contratto Bancario e Contratto finanziario), le diverse soluzioni di investimento e di rendimento, comprensive delle variabili “rischio” ed “orizzonte temporale di investimento” e concetto di rischio.</w:t>
      </w:r>
    </w:p>
    <w:p w:rsidR="00072CFA" w:rsidRPr="001C3C44" w:rsidRDefault="003A28C8" w:rsidP="001C3C44">
      <w:pPr>
        <w:pStyle w:val="Paragrafoelenco"/>
        <w:spacing w:after="0" w:line="240" w:lineRule="auto"/>
        <w:contextualSpacing w:val="0"/>
        <w:jc w:val="both"/>
        <w:rPr>
          <w:rFonts w:cstheme="minorHAnsi"/>
          <w:sz w:val="24"/>
          <w:szCs w:val="24"/>
        </w:rPr>
      </w:pPr>
      <w:r w:rsidRPr="001C3C44">
        <w:rPr>
          <w:rFonts w:cstheme="minorHAnsi"/>
          <w:sz w:val="24"/>
          <w:szCs w:val="24"/>
        </w:rPr>
        <w:t xml:space="preserve">Trailer del video: </w:t>
      </w:r>
    </w:p>
    <w:p w:rsidR="007E6EBF" w:rsidRPr="001C3C44" w:rsidRDefault="00F9167E" w:rsidP="001C3C44">
      <w:pPr>
        <w:pStyle w:val="Paragrafoelenco"/>
        <w:spacing w:after="0" w:line="240" w:lineRule="auto"/>
        <w:contextualSpacing w:val="0"/>
        <w:jc w:val="both"/>
        <w:rPr>
          <w:rStyle w:val="A6"/>
          <w:rFonts w:cstheme="minorHAnsi"/>
          <w:bCs/>
          <w:iCs/>
          <w:sz w:val="24"/>
          <w:szCs w:val="24"/>
        </w:rPr>
      </w:pPr>
      <w:hyperlink r:id="rId14" w:history="1">
        <w:r w:rsidR="00D51548" w:rsidRPr="001C3C44">
          <w:rPr>
            <w:rStyle w:val="Collegamentoipertestuale"/>
            <w:rFonts w:cstheme="minorHAnsi"/>
            <w:bCs/>
            <w:iCs/>
            <w:sz w:val="24"/>
            <w:szCs w:val="24"/>
          </w:rPr>
          <w:t>https://drive.google.com/file/d/1tNnz1Heh3UxvBcLftW8rtriS7If2P_yw/view?usp=sharing</w:t>
        </w:r>
      </w:hyperlink>
    </w:p>
    <w:p w:rsidR="00D51548" w:rsidRPr="001C3C44" w:rsidRDefault="00D51548" w:rsidP="001C3C44">
      <w:pPr>
        <w:pStyle w:val="Paragrafoelenco"/>
        <w:spacing w:after="0" w:line="240" w:lineRule="auto"/>
        <w:contextualSpacing w:val="0"/>
        <w:jc w:val="both"/>
        <w:rPr>
          <w:rStyle w:val="A6"/>
          <w:rFonts w:cstheme="minorHAnsi"/>
          <w:bCs/>
          <w:iCs/>
          <w:sz w:val="24"/>
          <w:szCs w:val="24"/>
        </w:rPr>
      </w:pPr>
    </w:p>
    <w:p w:rsidR="00FF6F15" w:rsidRPr="001C3C44" w:rsidRDefault="00FF6F15" w:rsidP="001C3C44">
      <w:pPr>
        <w:pStyle w:val="Paragrafoelenco"/>
        <w:numPr>
          <w:ilvl w:val="0"/>
          <w:numId w:val="1"/>
        </w:numPr>
        <w:spacing w:after="0" w:line="240" w:lineRule="auto"/>
        <w:contextualSpacing w:val="0"/>
        <w:jc w:val="both"/>
        <w:rPr>
          <w:rStyle w:val="A6"/>
          <w:rFonts w:cstheme="minorHAnsi"/>
          <w:sz w:val="24"/>
          <w:szCs w:val="24"/>
        </w:rPr>
      </w:pPr>
      <w:r w:rsidRPr="001C3C44">
        <w:rPr>
          <w:rStyle w:val="A6"/>
          <w:rFonts w:cstheme="minorHAnsi"/>
          <w:b/>
          <w:bCs/>
          <w:sz w:val="24"/>
          <w:szCs w:val="24"/>
        </w:rPr>
        <w:t>Pagamenti digitali e monete elettroniche</w:t>
      </w:r>
      <w:r w:rsidRPr="001C3C44">
        <w:rPr>
          <w:rStyle w:val="A6"/>
          <w:rFonts w:cstheme="minorHAnsi"/>
          <w:sz w:val="24"/>
          <w:szCs w:val="24"/>
        </w:rPr>
        <w:t>: quali tipologie e le differenze, come funzionano, sistemi di sicurezza e le monete virtuali (bitcoin).</w:t>
      </w:r>
    </w:p>
    <w:p w:rsidR="00FF6F15" w:rsidRPr="001C3C44" w:rsidRDefault="00F9167E" w:rsidP="001C3C44">
      <w:pPr>
        <w:pStyle w:val="Paragrafoelenco"/>
        <w:spacing w:after="0" w:line="240" w:lineRule="auto"/>
        <w:contextualSpacing w:val="0"/>
        <w:jc w:val="both"/>
        <w:rPr>
          <w:rStyle w:val="A6"/>
          <w:rFonts w:cstheme="minorHAnsi"/>
          <w:sz w:val="24"/>
          <w:szCs w:val="24"/>
        </w:rPr>
      </w:pPr>
      <w:hyperlink r:id="rId15" w:history="1">
        <w:r w:rsidR="00FF6F15" w:rsidRPr="001C3C44">
          <w:rPr>
            <w:rStyle w:val="Collegamentoipertestuale"/>
            <w:rFonts w:cstheme="minorHAnsi"/>
            <w:sz w:val="24"/>
            <w:szCs w:val="24"/>
          </w:rPr>
          <w:t>https://drive.google.com/file/d/1BJrsei_K-SwBvpc9UVat9oD1qfq2LH0o/view?usp=sharing</w:t>
        </w:r>
      </w:hyperlink>
    </w:p>
    <w:p w:rsidR="00FF6F15" w:rsidRPr="001C3C44" w:rsidRDefault="00FF6F15" w:rsidP="001C3C44">
      <w:pPr>
        <w:pStyle w:val="Paragrafoelenco"/>
        <w:spacing w:after="0" w:line="240" w:lineRule="auto"/>
        <w:contextualSpacing w:val="0"/>
        <w:jc w:val="both"/>
        <w:rPr>
          <w:rStyle w:val="A6"/>
          <w:rFonts w:cstheme="minorHAnsi"/>
          <w:sz w:val="24"/>
          <w:szCs w:val="24"/>
        </w:rPr>
      </w:pPr>
    </w:p>
    <w:p w:rsidR="00FF6F15" w:rsidRPr="001C3C44" w:rsidRDefault="00FF6F15" w:rsidP="001C3C44">
      <w:pPr>
        <w:pStyle w:val="Paragrafoelenco"/>
        <w:numPr>
          <w:ilvl w:val="0"/>
          <w:numId w:val="1"/>
        </w:numPr>
        <w:spacing w:after="0" w:line="240" w:lineRule="auto"/>
        <w:contextualSpacing w:val="0"/>
        <w:jc w:val="both"/>
        <w:rPr>
          <w:rStyle w:val="A6"/>
          <w:rFonts w:cstheme="minorHAnsi"/>
          <w:sz w:val="24"/>
          <w:szCs w:val="24"/>
        </w:rPr>
      </w:pPr>
      <w:r w:rsidRPr="001C3C44">
        <w:rPr>
          <w:rStyle w:val="A6"/>
          <w:rFonts w:cstheme="minorHAnsi"/>
          <w:b/>
          <w:bCs/>
          <w:sz w:val="24"/>
          <w:szCs w:val="24"/>
        </w:rPr>
        <w:t>Credito al consumo</w:t>
      </w:r>
      <w:r w:rsidRPr="001C3C44">
        <w:rPr>
          <w:rStyle w:val="A6"/>
          <w:rFonts w:cstheme="minorHAnsi"/>
          <w:sz w:val="24"/>
          <w:szCs w:val="24"/>
        </w:rPr>
        <w:t>: cos’è e come funziona; cosa significa TAEG e TAN, quali elementi considerare prima di “comprare a rate”, leggere e comprendere i contratti.</w:t>
      </w:r>
    </w:p>
    <w:p w:rsidR="00FF6F15" w:rsidRPr="001C3C44" w:rsidRDefault="00F9167E" w:rsidP="001C3C44">
      <w:pPr>
        <w:pStyle w:val="Paragrafoelenco"/>
        <w:spacing w:after="0" w:line="240" w:lineRule="auto"/>
        <w:contextualSpacing w:val="0"/>
        <w:jc w:val="both"/>
        <w:rPr>
          <w:rStyle w:val="A6"/>
          <w:rFonts w:cstheme="minorHAnsi"/>
          <w:sz w:val="24"/>
          <w:szCs w:val="24"/>
        </w:rPr>
      </w:pPr>
      <w:hyperlink r:id="rId16" w:history="1">
        <w:r w:rsidR="00FF6F15" w:rsidRPr="001C3C44">
          <w:rPr>
            <w:rStyle w:val="Collegamentoipertestuale"/>
            <w:rFonts w:cstheme="minorHAnsi"/>
            <w:sz w:val="24"/>
            <w:szCs w:val="24"/>
          </w:rPr>
          <w:t>https://drive.google.com/file/d/1N88rJUfZyBBKch1TLoH6Ptl9JTRqCQSI/view?usp=sharing</w:t>
        </w:r>
      </w:hyperlink>
    </w:p>
    <w:p w:rsidR="00FF6F15" w:rsidRPr="001C3C44" w:rsidRDefault="00FF6F15" w:rsidP="001C3C44">
      <w:pPr>
        <w:pStyle w:val="Paragrafoelenco"/>
        <w:spacing w:after="0" w:line="240" w:lineRule="auto"/>
        <w:contextualSpacing w:val="0"/>
        <w:jc w:val="both"/>
        <w:rPr>
          <w:rStyle w:val="A6"/>
          <w:rFonts w:cstheme="minorHAnsi"/>
          <w:sz w:val="24"/>
          <w:szCs w:val="24"/>
        </w:rPr>
      </w:pPr>
    </w:p>
    <w:p w:rsidR="00FF6F15" w:rsidRPr="001C3C44" w:rsidRDefault="00FF6F15" w:rsidP="001C3C44">
      <w:pPr>
        <w:pStyle w:val="Paragrafoelenco"/>
        <w:numPr>
          <w:ilvl w:val="0"/>
          <w:numId w:val="1"/>
        </w:numPr>
        <w:spacing w:after="0" w:line="240" w:lineRule="auto"/>
        <w:contextualSpacing w:val="0"/>
        <w:jc w:val="both"/>
        <w:rPr>
          <w:rStyle w:val="A6"/>
          <w:rFonts w:cstheme="minorHAnsi"/>
          <w:sz w:val="24"/>
          <w:szCs w:val="24"/>
        </w:rPr>
      </w:pPr>
      <w:r w:rsidRPr="001C3C44">
        <w:rPr>
          <w:rStyle w:val="A6"/>
          <w:rFonts w:cstheme="minorHAnsi"/>
          <w:b/>
          <w:bCs/>
          <w:sz w:val="24"/>
          <w:szCs w:val="24"/>
        </w:rPr>
        <w:t>Sovraindebitamento</w:t>
      </w:r>
      <w:r w:rsidRPr="001C3C44">
        <w:rPr>
          <w:rStyle w:val="A6"/>
          <w:rFonts w:cstheme="minorHAnsi"/>
          <w:sz w:val="24"/>
          <w:szCs w:val="24"/>
        </w:rPr>
        <w:t>: cos’è, quali rischi comporta e quali via d’uscita si prospettano, ricorso agli Organismi di composizione delle crisi da sovraindebitamento per la definizione di un piano di rientro dal debito.</w:t>
      </w:r>
    </w:p>
    <w:p w:rsidR="001C3C44" w:rsidRDefault="00F9167E" w:rsidP="001C3C44">
      <w:pPr>
        <w:pStyle w:val="Paragrafoelenco"/>
        <w:spacing w:after="0" w:line="240" w:lineRule="auto"/>
        <w:contextualSpacing w:val="0"/>
        <w:jc w:val="both"/>
        <w:rPr>
          <w:rStyle w:val="A6"/>
          <w:rFonts w:cstheme="minorHAnsi"/>
          <w:sz w:val="24"/>
          <w:szCs w:val="24"/>
        </w:rPr>
      </w:pPr>
      <w:hyperlink r:id="rId17" w:history="1">
        <w:r w:rsidR="00FF6F15" w:rsidRPr="001C3C44">
          <w:rPr>
            <w:rStyle w:val="Collegamentoipertestuale"/>
            <w:rFonts w:cstheme="minorHAnsi"/>
            <w:sz w:val="24"/>
            <w:szCs w:val="24"/>
          </w:rPr>
          <w:t>https://drive.google.com/file/d/1ZShaH76JYT420roO6uAHogKJed9ijKfa/view?usp=sharing</w:t>
        </w:r>
      </w:hyperlink>
    </w:p>
    <w:p w:rsidR="001C3C44" w:rsidRDefault="001C3C44">
      <w:pPr>
        <w:rPr>
          <w:rStyle w:val="A6"/>
          <w:rFonts w:cstheme="minorHAnsi"/>
          <w:sz w:val="24"/>
          <w:szCs w:val="24"/>
        </w:rPr>
      </w:pPr>
      <w:r>
        <w:rPr>
          <w:rStyle w:val="A6"/>
          <w:rFonts w:cstheme="minorHAnsi"/>
          <w:sz w:val="24"/>
          <w:szCs w:val="24"/>
        </w:rPr>
        <w:br w:type="page"/>
      </w:r>
    </w:p>
    <w:p w:rsidR="00FF6F15" w:rsidRPr="001C3C44" w:rsidRDefault="00FF6F15" w:rsidP="001C3C44">
      <w:pPr>
        <w:pStyle w:val="Paragrafoelenco"/>
        <w:spacing w:after="0" w:line="240" w:lineRule="auto"/>
        <w:contextualSpacing w:val="0"/>
        <w:jc w:val="both"/>
        <w:rPr>
          <w:rStyle w:val="A6"/>
          <w:rFonts w:cstheme="minorHAnsi"/>
          <w:sz w:val="24"/>
          <w:szCs w:val="24"/>
        </w:rPr>
      </w:pPr>
    </w:p>
    <w:p w:rsidR="00FF6F15" w:rsidRPr="001C3C44" w:rsidRDefault="00FF6F15" w:rsidP="001C3C44">
      <w:pPr>
        <w:pStyle w:val="Paragrafoelenco"/>
        <w:spacing w:after="0" w:line="240" w:lineRule="auto"/>
        <w:contextualSpacing w:val="0"/>
        <w:jc w:val="both"/>
        <w:rPr>
          <w:rStyle w:val="A6"/>
          <w:rFonts w:cstheme="minorHAnsi"/>
          <w:sz w:val="24"/>
          <w:szCs w:val="24"/>
        </w:rPr>
      </w:pPr>
    </w:p>
    <w:p w:rsidR="00FF6F15" w:rsidRPr="001C3C44" w:rsidRDefault="00FF6F15" w:rsidP="001C3C44">
      <w:pPr>
        <w:pStyle w:val="Paragrafoelenco"/>
        <w:numPr>
          <w:ilvl w:val="0"/>
          <w:numId w:val="1"/>
        </w:numPr>
        <w:spacing w:after="0" w:line="240" w:lineRule="auto"/>
        <w:contextualSpacing w:val="0"/>
        <w:jc w:val="both"/>
        <w:rPr>
          <w:rStyle w:val="A6"/>
          <w:rFonts w:cstheme="minorHAnsi"/>
          <w:sz w:val="24"/>
          <w:szCs w:val="24"/>
        </w:rPr>
      </w:pPr>
      <w:r w:rsidRPr="001C3C44">
        <w:rPr>
          <w:rStyle w:val="A6"/>
          <w:rFonts w:cstheme="minorHAnsi"/>
          <w:b/>
          <w:bCs/>
          <w:sz w:val="24"/>
          <w:szCs w:val="24"/>
        </w:rPr>
        <w:t>Crowdfunding:</w:t>
      </w:r>
      <w:r w:rsidRPr="001C3C44">
        <w:rPr>
          <w:rStyle w:val="A6"/>
          <w:rFonts w:cstheme="minorHAnsi"/>
          <w:sz w:val="24"/>
          <w:szCs w:val="24"/>
        </w:rPr>
        <w:t xml:space="preserve"> come usare l’economia collaborativa per finanziare progetti, cos’è e come funziona, quali i vantaggi e i rischi.</w:t>
      </w:r>
    </w:p>
    <w:p w:rsidR="00FF6F15" w:rsidRPr="001C3C44" w:rsidRDefault="00F9167E" w:rsidP="001C3C44">
      <w:pPr>
        <w:pStyle w:val="Paragrafoelenco"/>
        <w:spacing w:after="0" w:line="240" w:lineRule="auto"/>
        <w:contextualSpacing w:val="0"/>
        <w:jc w:val="both"/>
        <w:rPr>
          <w:rStyle w:val="A6"/>
          <w:rFonts w:cstheme="minorHAnsi"/>
          <w:sz w:val="24"/>
          <w:szCs w:val="24"/>
        </w:rPr>
      </w:pPr>
      <w:hyperlink r:id="rId18" w:history="1">
        <w:r w:rsidR="00FF6F15" w:rsidRPr="001C3C44">
          <w:rPr>
            <w:rStyle w:val="Collegamentoipertestuale"/>
            <w:rFonts w:cstheme="minorHAnsi"/>
            <w:sz w:val="24"/>
            <w:szCs w:val="24"/>
          </w:rPr>
          <w:t>https://drive.google.com/file/d/1sRvunnAHIfu081gbKcZtPwY2XNN8U4RU/view?usp=sharing</w:t>
        </w:r>
      </w:hyperlink>
    </w:p>
    <w:p w:rsidR="00FF6F15" w:rsidRPr="001C3C44" w:rsidRDefault="00FF6F15" w:rsidP="001C3C44">
      <w:pPr>
        <w:pStyle w:val="Paragrafoelenco"/>
        <w:spacing w:after="0" w:line="240" w:lineRule="auto"/>
        <w:contextualSpacing w:val="0"/>
        <w:jc w:val="both"/>
        <w:rPr>
          <w:rStyle w:val="A6"/>
          <w:rFonts w:cstheme="minorHAnsi"/>
          <w:sz w:val="24"/>
          <w:szCs w:val="24"/>
        </w:rPr>
      </w:pPr>
    </w:p>
    <w:p w:rsidR="00AA267F" w:rsidRPr="001C3C44" w:rsidRDefault="00AA267F" w:rsidP="001C3C44">
      <w:pPr>
        <w:spacing w:after="0" w:line="240" w:lineRule="auto"/>
        <w:jc w:val="both"/>
        <w:rPr>
          <w:rStyle w:val="A6"/>
          <w:rFonts w:cstheme="minorHAnsi"/>
          <w:sz w:val="24"/>
          <w:szCs w:val="24"/>
        </w:rPr>
      </w:pPr>
    </w:p>
    <w:p w:rsidR="007E6EBF" w:rsidRPr="001C3C44" w:rsidRDefault="007E6EBF" w:rsidP="001C3C44">
      <w:pPr>
        <w:spacing w:after="0" w:line="240" w:lineRule="auto"/>
        <w:jc w:val="both"/>
        <w:rPr>
          <w:rStyle w:val="A6"/>
          <w:rFonts w:cstheme="minorHAnsi"/>
          <w:sz w:val="24"/>
          <w:szCs w:val="24"/>
        </w:rPr>
      </w:pPr>
    </w:p>
    <w:p w:rsidR="003A28C8" w:rsidRPr="001C3C44" w:rsidRDefault="003A28C8" w:rsidP="001C3C44">
      <w:pPr>
        <w:tabs>
          <w:tab w:val="left" w:pos="284"/>
        </w:tabs>
        <w:spacing w:after="0" w:line="240" w:lineRule="auto"/>
        <w:jc w:val="both"/>
        <w:rPr>
          <w:rStyle w:val="A6"/>
          <w:rFonts w:cstheme="minorHAnsi"/>
          <w:sz w:val="24"/>
          <w:szCs w:val="24"/>
        </w:rPr>
      </w:pPr>
    </w:p>
    <w:sectPr w:rsidR="003A28C8" w:rsidRPr="001C3C44" w:rsidSect="001C3C44">
      <w:headerReference w:type="default" r:id="rId19"/>
      <w:footerReference w:type="default" r:id="rId20"/>
      <w:pgSz w:w="11906" w:h="16838"/>
      <w:pgMar w:top="2410" w:right="1134" w:bottom="1134" w:left="1134" w:header="708" w:footer="1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D7" w:rsidRDefault="00AE0AD7" w:rsidP="00072CFA">
      <w:pPr>
        <w:spacing w:after="0" w:line="240" w:lineRule="auto"/>
      </w:pPr>
      <w:r>
        <w:separator/>
      </w:r>
    </w:p>
  </w:endnote>
  <w:endnote w:type="continuationSeparator" w:id="0">
    <w:p w:rsidR="00AE0AD7" w:rsidRDefault="00AE0AD7" w:rsidP="00072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Light">
    <w:charset w:val="00"/>
    <w:family w:val="auto"/>
    <w:pitch w:val="variable"/>
    <w:sig w:usb0="A00002FF" w:usb1="5000204B" w:usb2="00000000" w:usb3="00000000" w:csb0="00000197"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70014"/>
      <w:docPartObj>
        <w:docPartGallery w:val="Page Numbers (Bottom of Page)"/>
        <w:docPartUnique/>
      </w:docPartObj>
    </w:sdtPr>
    <w:sdtContent>
      <w:p w:rsidR="00072CFA" w:rsidRDefault="001C3C44">
        <w:pPr>
          <w:pStyle w:val="Pidipagina"/>
          <w:jc w:val="right"/>
        </w:pPr>
        <w:r>
          <w:rPr>
            <w:noProof/>
            <w:lang w:eastAsia="it-IT"/>
          </w:rPr>
          <w:drawing>
            <wp:anchor distT="0" distB="0" distL="114300" distR="114300" simplePos="0" relativeHeight="251659264" behindDoc="1" locked="0" layoutInCell="1" allowOverlap="1">
              <wp:simplePos x="0" y="0"/>
              <wp:positionH relativeFrom="margin">
                <wp:align>center</wp:align>
              </wp:positionH>
              <wp:positionV relativeFrom="paragraph">
                <wp:posOffset>155575</wp:posOffset>
              </wp:positionV>
              <wp:extent cx="1611313" cy="381000"/>
              <wp:effectExtent l="0" t="0" r="8255" b="0"/>
              <wp:wrapNone/>
              <wp:docPr id="1040" name="Immagin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1313" cy="381000"/>
                      </a:xfrm>
                      <a:prstGeom prst="rect">
                        <a:avLst/>
                      </a:prstGeom>
                      <a:noFill/>
                    </pic:spPr>
                  </pic:pic>
                </a:graphicData>
              </a:graphic>
            </wp:anchor>
          </w:drawing>
        </w:r>
        <w:r>
          <w:rPr>
            <w:noProof/>
            <w:lang w:eastAsia="it-IT"/>
          </w:rPr>
          <w:drawing>
            <wp:anchor distT="0" distB="0" distL="114300" distR="114300" simplePos="0" relativeHeight="251660288" behindDoc="1" locked="0" layoutInCell="1" allowOverlap="1">
              <wp:simplePos x="0" y="0"/>
              <wp:positionH relativeFrom="column">
                <wp:posOffset>57150</wp:posOffset>
              </wp:positionH>
              <wp:positionV relativeFrom="paragraph">
                <wp:posOffset>10795</wp:posOffset>
              </wp:positionV>
              <wp:extent cx="1599749" cy="594360"/>
              <wp:effectExtent l="0" t="0" r="635" b="0"/>
              <wp:wrapNone/>
              <wp:docPr id="1041" name="Immagin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9749" cy="594360"/>
                      </a:xfrm>
                      <a:prstGeom prst="rect">
                        <a:avLst/>
                      </a:prstGeom>
                      <a:noFill/>
                    </pic:spPr>
                  </pic:pic>
                </a:graphicData>
              </a:graphic>
            </wp:anchor>
          </w:drawing>
        </w:r>
        <w:r>
          <w:rPr>
            <w:noProof/>
            <w:lang w:eastAsia="it-IT"/>
          </w:rPr>
          <w:drawing>
            <wp:anchor distT="0" distB="0" distL="114300" distR="114300" simplePos="0" relativeHeight="251661312" behindDoc="1" locked="0" layoutInCell="1" allowOverlap="1">
              <wp:simplePos x="0" y="0"/>
              <wp:positionH relativeFrom="column">
                <wp:posOffset>4385310</wp:posOffset>
              </wp:positionH>
              <wp:positionV relativeFrom="paragraph">
                <wp:posOffset>10795</wp:posOffset>
              </wp:positionV>
              <wp:extent cx="1684020" cy="592775"/>
              <wp:effectExtent l="0" t="0" r="0" b="0"/>
              <wp:wrapNone/>
              <wp:docPr id="1042" name="Immagine 1042" descr="logo-comitato-programmazione-attività-educazione-finanzi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omitato-programmazione-attività-educazione-finanziaria"/>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020" cy="592775"/>
                      </a:xfrm>
                      <a:prstGeom prst="rect">
                        <a:avLst/>
                      </a:prstGeom>
                      <a:noFill/>
                      <a:ln>
                        <a:noFill/>
                      </a:ln>
                    </pic:spPr>
                  </pic:pic>
                </a:graphicData>
              </a:graphic>
            </wp:anchor>
          </w:drawing>
        </w:r>
        <w:r w:rsidR="00F9167E">
          <w:fldChar w:fldCharType="begin"/>
        </w:r>
        <w:r w:rsidR="00072CFA">
          <w:instrText>PAGE   \* MERGEFORMAT</w:instrText>
        </w:r>
        <w:r w:rsidR="00F9167E">
          <w:fldChar w:fldCharType="separate"/>
        </w:r>
        <w:r w:rsidR="00B93398">
          <w:rPr>
            <w:noProof/>
          </w:rPr>
          <w:t>4</w:t>
        </w:r>
        <w:r w:rsidR="00F9167E">
          <w:fldChar w:fldCharType="end"/>
        </w:r>
      </w:p>
    </w:sdtContent>
  </w:sdt>
  <w:p w:rsidR="00072CFA" w:rsidRDefault="00072C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D7" w:rsidRDefault="00AE0AD7" w:rsidP="00072CFA">
      <w:pPr>
        <w:spacing w:after="0" w:line="240" w:lineRule="auto"/>
      </w:pPr>
      <w:r>
        <w:separator/>
      </w:r>
    </w:p>
  </w:footnote>
  <w:footnote w:type="continuationSeparator" w:id="0">
    <w:p w:rsidR="00AE0AD7" w:rsidRDefault="00AE0AD7" w:rsidP="00072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3" w:rsidRDefault="00F34A73">
    <w:pPr>
      <w:pStyle w:val="Intestazione"/>
    </w:pPr>
    <w:r w:rsidRPr="005D7F4B">
      <w:rPr>
        <w:rFonts w:eastAsia="Times New Roman" w:cstheme="minorHAnsi"/>
        <w:b/>
        <w:bCs/>
        <w:noProof/>
        <w:kern w:val="36"/>
        <w:lang w:eastAsia="it-IT"/>
      </w:rPr>
      <w:drawing>
        <wp:inline distT="0" distB="0" distL="0" distR="0">
          <wp:extent cx="2548011" cy="657317"/>
          <wp:effectExtent l="0" t="0" r="5080" b="0"/>
          <wp:docPr id="1039" name="Immagine 24" descr="Immagine che contiene testo&#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8945081-F667-4981-8FAF-C46BB7952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4" descr="Immagine che contiene testo&#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8945081-F667-4981-8FAF-C46BB7952251}"/>
                      </a:ext>
                    </a:extLst>
                  </pic:cNvPr>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11" cy="657317"/>
                  </a:xfrm>
                  <a:prstGeom prst="rect">
                    <a:avLst/>
                  </a:prstGeom>
                  <a:noFill/>
                  <a:ln>
                    <a:noFill/>
                  </a:ln>
                </pic:spPr>
              </pic:pic>
            </a:graphicData>
          </a:graphic>
        </wp:inline>
      </w:drawing>
    </w:r>
    <w:r>
      <w:ptab w:relativeTo="margin" w:alignment="center" w:leader="none"/>
    </w:r>
    <w:r w:rsidRPr="00F34A7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780"/>
      </v:shape>
    </w:pict>
  </w:numPicBullet>
  <w:abstractNum w:abstractNumId="0">
    <w:nsid w:val="2D4164BB"/>
    <w:multiLevelType w:val="hybridMultilevel"/>
    <w:tmpl w:val="3D208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A12D67"/>
    <w:multiLevelType w:val="hybridMultilevel"/>
    <w:tmpl w:val="E58CD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D26D60"/>
    <w:multiLevelType w:val="hybridMultilevel"/>
    <w:tmpl w:val="8814FAB8"/>
    <w:lvl w:ilvl="0" w:tplc="041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5179C3"/>
    <w:rsid w:val="00025B7D"/>
    <w:rsid w:val="00032EA6"/>
    <w:rsid w:val="00072CFA"/>
    <w:rsid w:val="000E34CD"/>
    <w:rsid w:val="001C3C44"/>
    <w:rsid w:val="00213D59"/>
    <w:rsid w:val="00235E06"/>
    <w:rsid w:val="002873C6"/>
    <w:rsid w:val="002B5BA7"/>
    <w:rsid w:val="002E6FF5"/>
    <w:rsid w:val="003413DA"/>
    <w:rsid w:val="00397134"/>
    <w:rsid w:val="003A28C8"/>
    <w:rsid w:val="003C64E3"/>
    <w:rsid w:val="003D7231"/>
    <w:rsid w:val="003F4B86"/>
    <w:rsid w:val="0043785F"/>
    <w:rsid w:val="004772EB"/>
    <w:rsid w:val="004B0D33"/>
    <w:rsid w:val="004D10EE"/>
    <w:rsid w:val="004E5C14"/>
    <w:rsid w:val="005179C3"/>
    <w:rsid w:val="0054138F"/>
    <w:rsid w:val="005D7F4B"/>
    <w:rsid w:val="00624882"/>
    <w:rsid w:val="006961E8"/>
    <w:rsid w:val="006C0696"/>
    <w:rsid w:val="006D0819"/>
    <w:rsid w:val="006D11FA"/>
    <w:rsid w:val="0070052A"/>
    <w:rsid w:val="007254B2"/>
    <w:rsid w:val="0074521E"/>
    <w:rsid w:val="007D223C"/>
    <w:rsid w:val="007E6EBF"/>
    <w:rsid w:val="00895DDC"/>
    <w:rsid w:val="008B07EE"/>
    <w:rsid w:val="008B1467"/>
    <w:rsid w:val="00923F49"/>
    <w:rsid w:val="00A3047F"/>
    <w:rsid w:val="00A83201"/>
    <w:rsid w:val="00AA267F"/>
    <w:rsid w:val="00AE0AD7"/>
    <w:rsid w:val="00B05E4C"/>
    <w:rsid w:val="00B45852"/>
    <w:rsid w:val="00B474A3"/>
    <w:rsid w:val="00B73116"/>
    <w:rsid w:val="00B93398"/>
    <w:rsid w:val="00B964AE"/>
    <w:rsid w:val="00BA421A"/>
    <w:rsid w:val="00BE7B26"/>
    <w:rsid w:val="00BF5702"/>
    <w:rsid w:val="00C27E13"/>
    <w:rsid w:val="00C32CC2"/>
    <w:rsid w:val="00CC02B7"/>
    <w:rsid w:val="00D51548"/>
    <w:rsid w:val="00D7720D"/>
    <w:rsid w:val="00D82F06"/>
    <w:rsid w:val="00E02B0A"/>
    <w:rsid w:val="00E05B77"/>
    <w:rsid w:val="00E303D2"/>
    <w:rsid w:val="00E5313A"/>
    <w:rsid w:val="00EA1B75"/>
    <w:rsid w:val="00EB5943"/>
    <w:rsid w:val="00F13269"/>
    <w:rsid w:val="00F34A73"/>
    <w:rsid w:val="00F9167E"/>
    <w:rsid w:val="00FD49B6"/>
    <w:rsid w:val="00FF6F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67E"/>
  </w:style>
  <w:style w:type="paragraph" w:styleId="Titolo1">
    <w:name w:val="heading 1"/>
    <w:basedOn w:val="Normale"/>
    <w:link w:val="Titolo1Carattere"/>
    <w:uiPriority w:val="9"/>
    <w:qFormat/>
    <w:rsid w:val="006C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696"/>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FD49B6"/>
    <w:rPr>
      <w:b/>
      <w:bCs/>
    </w:rPr>
  </w:style>
  <w:style w:type="character" w:styleId="Collegamentoipertestuale">
    <w:name w:val="Hyperlink"/>
    <w:basedOn w:val="Carpredefinitoparagrafo"/>
    <w:uiPriority w:val="99"/>
    <w:unhideWhenUsed/>
    <w:rsid w:val="00FD49B6"/>
    <w:rPr>
      <w:color w:val="0000FF"/>
      <w:u w:val="single"/>
    </w:rPr>
  </w:style>
  <w:style w:type="paragraph" w:customStyle="1" w:styleId="Pa4">
    <w:name w:val="Pa4"/>
    <w:basedOn w:val="Normale"/>
    <w:next w:val="Normale"/>
    <w:uiPriority w:val="99"/>
    <w:rsid w:val="00B05E4C"/>
    <w:pPr>
      <w:autoSpaceDE w:val="0"/>
      <w:autoSpaceDN w:val="0"/>
      <w:adjustRightInd w:val="0"/>
      <w:spacing w:after="0" w:line="181" w:lineRule="atLeast"/>
    </w:pPr>
    <w:rPr>
      <w:rFonts w:ascii="Nunito Light" w:hAnsi="Nunito Light"/>
      <w:sz w:val="24"/>
      <w:szCs w:val="24"/>
    </w:rPr>
  </w:style>
  <w:style w:type="character" w:customStyle="1" w:styleId="A6">
    <w:name w:val="A6"/>
    <w:uiPriority w:val="99"/>
    <w:rsid w:val="00B05E4C"/>
    <w:rPr>
      <w:rFonts w:cs="Nunito Light"/>
      <w:color w:val="000000"/>
      <w:sz w:val="22"/>
      <w:szCs w:val="22"/>
    </w:rPr>
  </w:style>
  <w:style w:type="paragraph" w:styleId="Testofumetto">
    <w:name w:val="Balloon Text"/>
    <w:basedOn w:val="Normale"/>
    <w:link w:val="TestofumettoCarattere"/>
    <w:uiPriority w:val="99"/>
    <w:semiHidden/>
    <w:unhideWhenUsed/>
    <w:rsid w:val="003971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134"/>
    <w:rPr>
      <w:rFonts w:ascii="Tahoma" w:hAnsi="Tahoma" w:cs="Tahoma"/>
      <w:sz w:val="16"/>
      <w:szCs w:val="16"/>
    </w:rPr>
  </w:style>
  <w:style w:type="paragraph" w:styleId="Paragrafoelenco">
    <w:name w:val="List Paragraph"/>
    <w:basedOn w:val="Normale"/>
    <w:uiPriority w:val="34"/>
    <w:qFormat/>
    <w:rsid w:val="004D10EE"/>
    <w:pPr>
      <w:ind w:left="720"/>
      <w:contextualSpacing/>
    </w:pPr>
  </w:style>
  <w:style w:type="character" w:customStyle="1" w:styleId="UnresolvedMention">
    <w:name w:val="Unresolved Mention"/>
    <w:basedOn w:val="Carpredefinitoparagrafo"/>
    <w:uiPriority w:val="99"/>
    <w:semiHidden/>
    <w:unhideWhenUsed/>
    <w:rsid w:val="007E6EBF"/>
    <w:rPr>
      <w:color w:val="605E5C"/>
      <w:shd w:val="clear" w:color="auto" w:fill="E1DFDD"/>
    </w:rPr>
  </w:style>
  <w:style w:type="paragraph" w:styleId="Intestazione">
    <w:name w:val="header"/>
    <w:basedOn w:val="Normale"/>
    <w:link w:val="IntestazioneCarattere"/>
    <w:uiPriority w:val="99"/>
    <w:unhideWhenUsed/>
    <w:rsid w:val="00072C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CFA"/>
  </w:style>
  <w:style w:type="paragraph" w:styleId="Pidipagina">
    <w:name w:val="footer"/>
    <w:basedOn w:val="Normale"/>
    <w:link w:val="PidipaginaCarattere"/>
    <w:uiPriority w:val="99"/>
    <w:unhideWhenUsed/>
    <w:rsid w:val="00072C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CFA"/>
  </w:style>
  <w:style w:type="character" w:styleId="Collegamentovisitato">
    <w:name w:val="FollowedHyperlink"/>
    <w:basedOn w:val="Carpredefinitoparagrafo"/>
    <w:uiPriority w:val="99"/>
    <w:semiHidden/>
    <w:unhideWhenUsed/>
    <w:rsid w:val="00D515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2340241">
      <w:bodyDiv w:val="1"/>
      <w:marLeft w:val="0"/>
      <w:marRight w:val="0"/>
      <w:marTop w:val="0"/>
      <w:marBottom w:val="0"/>
      <w:divBdr>
        <w:top w:val="none" w:sz="0" w:space="0" w:color="auto"/>
        <w:left w:val="none" w:sz="0" w:space="0" w:color="auto"/>
        <w:bottom w:val="none" w:sz="0" w:space="0" w:color="auto"/>
        <w:right w:val="none" w:sz="0" w:space="0" w:color="auto"/>
      </w:divBdr>
    </w:div>
    <w:div w:id="9460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RJjDpSO1wlYJ99GjBJ77a8lBpOAVlm_/view?usp=sharing" TargetMode="External"/><Relationship Id="rId13" Type="http://schemas.openxmlformats.org/officeDocument/2006/relationships/hyperlink" Target="https://drive.google.com/file/d/1PEB7YE1EIpQ38y_b2xJ92TOf7_8TxnbQ/view?usp=sharing" TargetMode="External"/><Relationship Id="rId18" Type="http://schemas.openxmlformats.org/officeDocument/2006/relationships/hyperlink" Target="https://drive.google.com/file/d/1sRvunnAHIfu081gbKcZtPwY2XNN8U4RU/view?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politichegiovanili.gov.it" TargetMode="External"/><Relationship Id="rId17" Type="http://schemas.openxmlformats.org/officeDocument/2006/relationships/hyperlink" Target="https://drive.google.com/file/d/1ZShaH76JYT420roO6uAHogKJed9ijKfa/view?usp=sharing" TargetMode="External"/><Relationship Id="rId2" Type="http://schemas.openxmlformats.org/officeDocument/2006/relationships/styles" Target="styles.xml"/><Relationship Id="rId16" Type="http://schemas.openxmlformats.org/officeDocument/2006/relationships/hyperlink" Target="https://drive.google.com/file/d/1N88rJUfZyBBKch1TLoH6Ptl9JTRqCQSI/view?usp=sha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gLU1-qesnNs_G7_7fE4mw-pFxnm5DdsX/view?usp=sharing" TargetMode="External"/><Relationship Id="rId5" Type="http://schemas.openxmlformats.org/officeDocument/2006/relationships/footnotes" Target="footnotes.xml"/><Relationship Id="rId15" Type="http://schemas.openxmlformats.org/officeDocument/2006/relationships/hyperlink" Target="https://drive.google.com/file/d/1BJrsei_K-SwBvpc9UVat9oD1qfq2LH0o/view?usp=sharing" TargetMode="External"/><Relationship Id="rId10" Type="http://schemas.openxmlformats.org/officeDocument/2006/relationships/hyperlink" Target="https://drive.google.com/file/d/1-LUkxmNhZIMrtvpjWtPWmHZQA1YMH6YR/view?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zEGjV7F3kb_Xm-g2v8QtPgkJ9g_WWnHE/view?usp=sharing" TargetMode="External"/><Relationship Id="rId14" Type="http://schemas.openxmlformats.org/officeDocument/2006/relationships/hyperlink" Target="https://drive.google.com/file/d/1tNnz1Heh3UxvBcLftW8rtriS7If2P_yw/view?usp=sha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Cacciari</dc:creator>
  <cp:lastModifiedBy>simona.paronetto</cp:lastModifiedBy>
  <cp:revision>3</cp:revision>
  <dcterms:created xsi:type="dcterms:W3CDTF">2022-03-31T07:26:00Z</dcterms:created>
  <dcterms:modified xsi:type="dcterms:W3CDTF">2022-03-31T07:26:00Z</dcterms:modified>
</cp:coreProperties>
</file>