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E0BE" w14:textId="77777777" w:rsidR="00C27CCA" w:rsidRDefault="00C27CCA">
      <w:pPr>
        <w:rPr>
          <w:b/>
          <w:bCs/>
        </w:rPr>
      </w:pPr>
    </w:p>
    <w:p w14:paraId="1A94938C" w14:textId="77777777" w:rsidR="00C27CCA" w:rsidRPr="00DA4AB6" w:rsidRDefault="00C27CCA" w:rsidP="00C27CCA">
      <w:pPr>
        <w:jc w:val="center"/>
        <w:rPr>
          <w:b/>
          <w:bCs/>
          <w:sz w:val="36"/>
          <w:szCs w:val="36"/>
        </w:rPr>
      </w:pPr>
      <w:r w:rsidRPr="00DA4AB6">
        <w:rPr>
          <w:b/>
          <w:bCs/>
          <w:sz w:val="36"/>
          <w:szCs w:val="36"/>
        </w:rPr>
        <w:t>Comunicato stampa</w:t>
      </w:r>
    </w:p>
    <w:p w14:paraId="50ED1004" w14:textId="351218A8" w:rsidR="00C27CCA" w:rsidRPr="00DA4AB6" w:rsidRDefault="00FD5136" w:rsidP="00C27CCA">
      <w:pPr>
        <w:jc w:val="center"/>
        <w:rPr>
          <w:b/>
          <w:bCs/>
          <w:sz w:val="36"/>
          <w:szCs w:val="36"/>
        </w:rPr>
      </w:pPr>
      <w:bookmarkStart w:id="0" w:name="_Hlk110408360"/>
      <w:r>
        <w:rPr>
          <w:b/>
          <w:bCs/>
          <w:sz w:val="36"/>
          <w:szCs w:val="36"/>
        </w:rPr>
        <w:t>Alimentare</w:t>
      </w:r>
      <w:r w:rsidR="00CF0B78">
        <w:rPr>
          <w:b/>
          <w:bCs/>
          <w:sz w:val="36"/>
          <w:szCs w:val="36"/>
        </w:rPr>
        <w:t xml:space="preserve">: </w:t>
      </w:r>
      <w:r w:rsidR="00887367">
        <w:rPr>
          <w:b/>
          <w:bCs/>
          <w:sz w:val="36"/>
          <w:szCs w:val="36"/>
        </w:rPr>
        <w:t>previsto +15%</w:t>
      </w:r>
      <w:r>
        <w:rPr>
          <w:b/>
          <w:bCs/>
          <w:sz w:val="36"/>
          <w:szCs w:val="36"/>
        </w:rPr>
        <w:t xml:space="preserve"> prez</w:t>
      </w:r>
      <w:bookmarkEnd w:id="0"/>
      <w:r w:rsidR="00887367">
        <w:rPr>
          <w:b/>
          <w:bCs/>
          <w:sz w:val="36"/>
          <w:szCs w:val="36"/>
        </w:rPr>
        <w:t xml:space="preserve">zi produzione </w:t>
      </w:r>
      <w:r>
        <w:rPr>
          <w:b/>
          <w:bCs/>
          <w:sz w:val="36"/>
          <w:szCs w:val="36"/>
        </w:rPr>
        <w:t xml:space="preserve">ad agosto </w:t>
      </w:r>
    </w:p>
    <w:p w14:paraId="1DDB57E2" w14:textId="06399B61" w:rsidR="00E44EB5" w:rsidRDefault="00C27CCA" w:rsidP="00F53009">
      <w:pPr>
        <w:contextualSpacing/>
        <w:jc w:val="both"/>
      </w:pPr>
      <w:r w:rsidRPr="000F5F98">
        <w:rPr>
          <w:b/>
        </w:rPr>
        <w:t>Roma</w:t>
      </w:r>
      <w:r w:rsidR="00B44922">
        <w:rPr>
          <w:b/>
        </w:rPr>
        <w:t>,</w:t>
      </w:r>
      <w:r w:rsidR="007C388A" w:rsidRPr="000F5F98">
        <w:rPr>
          <w:b/>
        </w:rPr>
        <w:t xml:space="preserve"> </w:t>
      </w:r>
      <w:r w:rsidR="00B44922">
        <w:rPr>
          <w:b/>
        </w:rPr>
        <w:t>05</w:t>
      </w:r>
      <w:r w:rsidR="001F7F6E">
        <w:rPr>
          <w:b/>
        </w:rPr>
        <w:t xml:space="preserve"> agosto 2022</w:t>
      </w:r>
      <w:r w:rsidRPr="000F5F98">
        <w:t xml:space="preserve"> </w:t>
      </w:r>
      <w:r w:rsidR="0025626C" w:rsidRPr="000F5F98">
        <w:t>–</w:t>
      </w:r>
      <w:r w:rsidR="00CF0B78">
        <w:t xml:space="preserve"> </w:t>
      </w:r>
      <w:r w:rsidR="00FD5136">
        <w:t xml:space="preserve">Attesi </w:t>
      </w:r>
      <w:r w:rsidR="00847F82">
        <w:t xml:space="preserve">rincari </w:t>
      </w:r>
      <w:r w:rsidR="00FD5136">
        <w:t>dell’1,7% dell’alimentare tra luglio ed agosto che portano a</w:t>
      </w:r>
      <w:r w:rsidR="00847F82">
        <w:t xml:space="preserve">l 14,9% la crescita dei </w:t>
      </w:r>
      <w:r w:rsidR="00FD5136" w:rsidRPr="00FD5136">
        <w:t xml:space="preserve">prezzi </w:t>
      </w:r>
      <w:r w:rsidR="00847F82">
        <w:t>alla produzione negli ultimi 12 mesi.</w:t>
      </w:r>
      <w:r w:rsidR="00E91273">
        <w:t xml:space="preserve"> L’estate </w:t>
      </w:r>
      <w:r w:rsidR="004C5819">
        <w:t>in tavol</w:t>
      </w:r>
      <w:r w:rsidR="00586616">
        <w:t>a</w:t>
      </w:r>
      <w:r w:rsidR="004C5819">
        <w:t xml:space="preserve"> </w:t>
      </w:r>
      <w:r w:rsidR="00E91273">
        <w:t>sarà più “</w:t>
      </w:r>
      <w:r w:rsidR="00586616">
        <w:t>rovente”</w:t>
      </w:r>
      <w:r w:rsidR="00E91273">
        <w:t xml:space="preserve">” per </w:t>
      </w:r>
      <w:r w:rsidR="00564D98">
        <w:t>l’acquisto di latticini ma anche di scatolame e conserve</w:t>
      </w:r>
      <w:r w:rsidR="00E44EB5">
        <w:t>.</w:t>
      </w:r>
      <w:r w:rsidR="00564D98">
        <w:t xml:space="preserve"> </w:t>
      </w:r>
      <w:r w:rsidR="00E44EB5">
        <w:t>C</w:t>
      </w:r>
      <w:r w:rsidR="00586616">
        <w:t>osterà di più compr</w:t>
      </w:r>
      <w:r w:rsidR="00B57E69">
        <w:t>ar</w:t>
      </w:r>
      <w:r w:rsidR="00586616">
        <w:t>e</w:t>
      </w:r>
      <w:r w:rsidR="00E44EB5">
        <w:t>, rispetto a maggio e giugno,</w:t>
      </w:r>
      <w:r w:rsidR="00586616">
        <w:t xml:space="preserve"> </w:t>
      </w:r>
      <w:r w:rsidR="00564D98">
        <w:t xml:space="preserve">il </w:t>
      </w:r>
      <w:r w:rsidR="00EC7BDE" w:rsidRPr="00F66D65">
        <w:t>latte a lunga conservazione</w:t>
      </w:r>
      <w:r w:rsidR="00586616">
        <w:t xml:space="preserve"> (+</w:t>
      </w:r>
      <w:r w:rsidR="00E44EB5">
        <w:t>6,7%)</w:t>
      </w:r>
      <w:r w:rsidR="00564D98">
        <w:t xml:space="preserve">, </w:t>
      </w:r>
      <w:r w:rsidR="00E44EB5">
        <w:t>la mozzarella (+</w:t>
      </w:r>
      <w:r w:rsidR="00564D98">
        <w:t>4,7%</w:t>
      </w:r>
      <w:r w:rsidR="00E44EB5">
        <w:t>)</w:t>
      </w:r>
      <w:r w:rsidR="00EC7BDE">
        <w:t>,</w:t>
      </w:r>
      <w:r w:rsidR="00B57E69">
        <w:t xml:space="preserve"> la </w:t>
      </w:r>
      <w:r w:rsidR="00B57E69" w:rsidRPr="00B57E69">
        <w:t xml:space="preserve">passata di pomodoro +4,3%, </w:t>
      </w:r>
      <w:r w:rsidR="00E44EB5">
        <w:t>i</w:t>
      </w:r>
      <w:r w:rsidR="004C5819">
        <w:t xml:space="preserve">l </w:t>
      </w:r>
      <w:r w:rsidR="00EC7BDE" w:rsidRPr="00F66D65">
        <w:t>tonno all’olio di oliva</w:t>
      </w:r>
      <w:r w:rsidR="00E44EB5">
        <w:t xml:space="preserve"> (4,1%)</w:t>
      </w:r>
      <w:r w:rsidR="00586616">
        <w:t>,</w:t>
      </w:r>
      <w:r w:rsidR="00EC7BDE" w:rsidRPr="00F66D65">
        <w:t xml:space="preserve"> </w:t>
      </w:r>
      <w:r w:rsidR="00E44EB5">
        <w:t xml:space="preserve">i legumi in scatola (+4,3%), </w:t>
      </w:r>
      <w:r w:rsidR="004C5819">
        <w:t>l’</w:t>
      </w:r>
      <w:r w:rsidR="00EC7BDE" w:rsidRPr="00F66D65">
        <w:t>olio di semi</w:t>
      </w:r>
      <w:r w:rsidR="00E44EB5">
        <w:t xml:space="preserve"> (+4,1%)</w:t>
      </w:r>
      <w:r w:rsidR="004C5819">
        <w:t>.</w:t>
      </w:r>
      <w:r w:rsidR="00E44EB5">
        <w:t xml:space="preserve"> Ma sono previsti rialzi anche per pasta di semola (+</w:t>
      </w:r>
      <w:r w:rsidR="00EC7BDE" w:rsidRPr="00F66D65">
        <w:t xml:space="preserve"> </w:t>
      </w:r>
      <w:r w:rsidR="00E44EB5">
        <w:t xml:space="preserve">3,7%) e riso (+3%). </w:t>
      </w:r>
    </w:p>
    <w:p w14:paraId="2F872A1C" w14:textId="77777777" w:rsidR="00E44EB5" w:rsidRDefault="00E44EB5" w:rsidP="00F53009">
      <w:pPr>
        <w:contextualSpacing/>
        <w:jc w:val="both"/>
      </w:pPr>
    </w:p>
    <w:p w14:paraId="1D621232" w14:textId="02C7369F" w:rsidR="00F66D65" w:rsidRDefault="00E44EB5" w:rsidP="00F53009">
      <w:pPr>
        <w:contextualSpacing/>
        <w:jc w:val="both"/>
      </w:pPr>
      <w:proofErr w:type="gramStart"/>
      <w:r>
        <w:t>E’</w:t>
      </w:r>
      <w:proofErr w:type="gramEnd"/>
      <w:r>
        <w:t xml:space="preserve"> quanto prevede un’indagine </w:t>
      </w:r>
      <w:r w:rsidRPr="00E44EB5">
        <w:t xml:space="preserve">condotta da </w:t>
      </w:r>
      <w:r w:rsidRPr="009434D3">
        <w:rPr>
          <w:b/>
          <w:bCs/>
        </w:rPr>
        <w:t>Unioncamere</w:t>
      </w:r>
      <w:r w:rsidRPr="00E44EB5">
        <w:t xml:space="preserve"> con la collaborazione di </w:t>
      </w:r>
      <w:r w:rsidRPr="009434D3">
        <w:rPr>
          <w:b/>
          <w:bCs/>
        </w:rPr>
        <w:t>BMTI e REF Ricerche</w:t>
      </w:r>
      <w:r>
        <w:t xml:space="preserve"> presso le Centrali di Acquisto della GDO </w:t>
      </w:r>
      <w:r w:rsidRPr="00847F82">
        <w:t>per 46 prodotti alimentari monitorati</w:t>
      </w:r>
    </w:p>
    <w:p w14:paraId="5AD7140C" w14:textId="77777777" w:rsidR="00F66D65" w:rsidRDefault="00F66D65" w:rsidP="00F53009">
      <w:pPr>
        <w:contextualSpacing/>
        <w:jc w:val="both"/>
      </w:pPr>
    </w:p>
    <w:p w14:paraId="5E204BE6" w14:textId="07CD0647" w:rsidR="00B57E69" w:rsidRDefault="00B57E69" w:rsidP="00B57E69">
      <w:pPr>
        <w:contextualSpacing/>
        <w:jc w:val="both"/>
      </w:pPr>
      <w:r>
        <w:t xml:space="preserve">Su base annua, rispetto al bimestre luglio-agosto 2021, </w:t>
      </w:r>
      <w:r w:rsidR="002548AF">
        <w:t xml:space="preserve">aumenti a due cifre si stimano per </w:t>
      </w:r>
      <w:r>
        <w:t>l’olio di semi (+40,9%), pasta di semola</w:t>
      </w:r>
      <w:r w:rsidR="002548AF">
        <w:t xml:space="preserve"> (</w:t>
      </w:r>
      <w:r>
        <w:t xml:space="preserve"> +30%</w:t>
      </w:r>
      <w:r w:rsidR="002548AF">
        <w:t>)</w:t>
      </w:r>
      <w:r>
        <w:t>, riso (+19,4%), olio di oliva (+33,1%),  burro (+25%) e farina di grano tenero (+25,4%).</w:t>
      </w:r>
      <w:r w:rsidR="002548AF">
        <w:t xml:space="preserve"> </w:t>
      </w:r>
      <w:r>
        <w:t xml:space="preserve">Nei dati preliminari di Istat per il mese di luglio, l’inflazione alimentare al consumo mostra un’ulteriore accelerazione, portandosi al +9,6% rispetto al +8,7% del mese di giugno. </w:t>
      </w:r>
    </w:p>
    <w:p w14:paraId="6C36FF83" w14:textId="662831EB" w:rsidR="002548AF" w:rsidRDefault="002548AF" w:rsidP="002548AF">
      <w:pPr>
        <w:contextualSpacing/>
        <w:jc w:val="both"/>
      </w:pPr>
      <w:r>
        <w:t xml:space="preserve">Mentre i prodotti che hanno subito i rialzi maggiori </w:t>
      </w:r>
      <w:r w:rsidR="00DC5F21">
        <w:t>a giugno</w:t>
      </w:r>
      <w:r>
        <w:t xml:space="preserve"> presso le </w:t>
      </w:r>
      <w:r w:rsidRPr="001F7F6E">
        <w:rPr>
          <w:rFonts w:ascii="Calibri" w:hAnsi="Calibri" w:cs="Calibri"/>
          <w:b/>
          <w:bCs/>
        </w:rPr>
        <w:t>Centrali di Acquisto della GDO</w:t>
      </w:r>
      <w:r>
        <w:t>, secondo i dati di preconsuntivo, sono l’</w:t>
      </w:r>
      <w:r w:rsidRPr="001F7F6E">
        <w:rPr>
          <w:b/>
          <w:bCs/>
        </w:rPr>
        <w:t>olio di semi</w:t>
      </w:r>
      <w:r>
        <w:rPr>
          <w:b/>
          <w:bCs/>
        </w:rPr>
        <w:t xml:space="preserve"> (+</w:t>
      </w:r>
      <w:r>
        <w:t xml:space="preserve">5,8%), lo </w:t>
      </w:r>
      <w:r w:rsidRPr="001F7F6E">
        <w:rPr>
          <w:b/>
          <w:bCs/>
        </w:rPr>
        <w:t>yogurt</w:t>
      </w:r>
      <w:r>
        <w:t xml:space="preserve"> (+3,5%), i </w:t>
      </w:r>
      <w:r w:rsidRPr="001F7F6E">
        <w:rPr>
          <w:b/>
          <w:bCs/>
        </w:rPr>
        <w:t>legumi</w:t>
      </w:r>
      <w:r>
        <w:t xml:space="preserve"> </w:t>
      </w:r>
      <w:r w:rsidRPr="001F7F6E">
        <w:rPr>
          <w:b/>
          <w:bCs/>
        </w:rPr>
        <w:t>in</w:t>
      </w:r>
      <w:r>
        <w:t xml:space="preserve"> </w:t>
      </w:r>
      <w:r w:rsidRPr="001F7F6E">
        <w:rPr>
          <w:b/>
          <w:bCs/>
        </w:rPr>
        <w:t>scatola</w:t>
      </w:r>
      <w:r>
        <w:t xml:space="preserve"> (piselli e fagioli +2,7%) e il </w:t>
      </w:r>
      <w:r w:rsidRPr="001F7F6E">
        <w:rPr>
          <w:b/>
          <w:bCs/>
        </w:rPr>
        <w:t>prosciutto crudo</w:t>
      </w:r>
      <w:r>
        <w:t xml:space="preserve"> (+2,2%). In calo solo la carne fresca di pollo (-2,7%), complice il rientro dei prezzi che si sta registrando nelle fasi a monte della filiera dopo le tensioni di inizio anno, e di suino (-1,9%).</w:t>
      </w:r>
    </w:p>
    <w:p w14:paraId="14F5379C" w14:textId="77777777" w:rsidR="002548AF" w:rsidRDefault="002548AF" w:rsidP="002548AF">
      <w:pPr>
        <w:contextualSpacing/>
        <w:jc w:val="both"/>
        <w:rPr>
          <w:rFonts w:ascii="Calibri" w:hAnsi="Calibri" w:cs="Calibri"/>
        </w:rPr>
      </w:pPr>
      <w:r>
        <w:t xml:space="preserve">Su base annuale, </w:t>
      </w:r>
      <w:r>
        <w:rPr>
          <w:rFonts w:ascii="Calibri" w:hAnsi="Calibri" w:cs="Calibri"/>
        </w:rPr>
        <w:t xml:space="preserve">secondo i dati di preconsuntivo forniti dalle Centrali di Acquisto, l’inflazione per il mese di giugno è pari al 13,5%, con i rincari maggiori per olio di semi (+41,4%), tra i settori maggiormente colpiti dalle conseguenze del conflitto russo-ucraino. </w:t>
      </w:r>
    </w:p>
    <w:p w14:paraId="075A7DE7" w14:textId="350DB443" w:rsidR="00847F82" w:rsidRDefault="00B57E69" w:rsidP="00B57E69">
      <w:pPr>
        <w:contextualSpacing/>
        <w:jc w:val="both"/>
      </w:pPr>
      <w:r>
        <w:t>Le anticipazioni raccolte sui prezzi pagati dalle Centrali di Acquisto della GDO all’industria alimentare suggeriscono che l’inflazione alimentare al consumo rimarrà su valori sostenuti e superiori al 9% sino alla fine del periodo estivo. Per la media dell’anno 2022 la previsione è ora all’8,1%.</w:t>
      </w:r>
    </w:p>
    <w:p w14:paraId="69C9422F" w14:textId="68FCE8BA" w:rsidR="00B57E69" w:rsidRDefault="00B57E69" w:rsidP="00B57E69">
      <w:pPr>
        <w:contextualSpacing/>
        <w:jc w:val="both"/>
      </w:pPr>
    </w:p>
    <w:p w14:paraId="269E2F23" w14:textId="314621A2" w:rsidR="00CD091C" w:rsidRDefault="006C266D">
      <w:r w:rsidRPr="006C266D">
        <w:rPr>
          <w:noProof/>
        </w:rPr>
        <w:drawing>
          <wp:inline distT="0" distB="0" distL="0" distR="0" wp14:anchorId="080BF68B" wp14:editId="2C26E401">
            <wp:extent cx="3694430" cy="293370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0B0B0" w14:textId="5487012A" w:rsidR="00F42E1F" w:rsidRPr="00277070" w:rsidRDefault="00AF222B" w:rsidP="00AA1CFA">
      <w:r w:rsidRPr="00AF222B">
        <w:rPr>
          <w:noProof/>
        </w:rPr>
        <w:lastRenderedPageBreak/>
        <w:drawing>
          <wp:inline distT="0" distB="0" distL="0" distR="0" wp14:anchorId="3E3A71EA" wp14:editId="13F56B07">
            <wp:extent cx="3731895" cy="9072245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E1F" w:rsidRPr="00277070" w:rsidSect="00B07F3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A618" w14:textId="77777777" w:rsidR="00974C85" w:rsidRDefault="00974C85" w:rsidP="00E44953">
      <w:pPr>
        <w:spacing w:after="0" w:line="240" w:lineRule="auto"/>
      </w:pPr>
      <w:r>
        <w:separator/>
      </w:r>
    </w:p>
  </w:endnote>
  <w:endnote w:type="continuationSeparator" w:id="0">
    <w:p w14:paraId="3F9902BA" w14:textId="77777777" w:rsidR="00974C85" w:rsidRDefault="00974C85" w:rsidP="00E4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ACE7" w14:textId="77777777" w:rsidR="00974C85" w:rsidRDefault="00974C85" w:rsidP="00E44953">
      <w:pPr>
        <w:spacing w:after="0" w:line="240" w:lineRule="auto"/>
      </w:pPr>
      <w:r>
        <w:separator/>
      </w:r>
    </w:p>
  </w:footnote>
  <w:footnote w:type="continuationSeparator" w:id="0">
    <w:p w14:paraId="2D9EEEF9" w14:textId="77777777" w:rsidR="00974C85" w:rsidRDefault="00974C85" w:rsidP="00E4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6BC6" w14:textId="77777777" w:rsidR="00E44953" w:rsidRDefault="00F2584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10112" behindDoc="0" locked="0" layoutInCell="1" allowOverlap="1" wp14:anchorId="1340FD22" wp14:editId="3F3BAC5D">
          <wp:simplePos x="0" y="0"/>
          <wp:positionH relativeFrom="column">
            <wp:posOffset>5547360</wp:posOffset>
          </wp:positionH>
          <wp:positionV relativeFrom="paragraph">
            <wp:posOffset>-325755</wp:posOffset>
          </wp:positionV>
          <wp:extent cx="676275" cy="676275"/>
          <wp:effectExtent l="19050" t="0" r="9525" b="0"/>
          <wp:wrapNone/>
          <wp:docPr id="6256" name="Picture 238" descr="Logo Ref_nuovo">
            <a:extLst xmlns:a="http://schemas.openxmlformats.org/drawingml/2006/main">
              <a:ext uri="{FF2B5EF4-FFF2-40B4-BE49-F238E27FC236}">
                <a16:creationId xmlns:a16="http://schemas.microsoft.com/office/drawing/2014/main" id="{F6F0618E-41D0-405B-B145-3F65DFCBBC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" name="Picture 238" descr="Logo Ref_nuovo">
                    <a:extLst>
                      <a:ext uri="{FF2B5EF4-FFF2-40B4-BE49-F238E27FC236}">
                        <a16:creationId xmlns:a16="http://schemas.microsoft.com/office/drawing/2014/main" id="{F6F0618E-41D0-405B-B145-3F65DFCBBC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800576" behindDoc="0" locked="0" layoutInCell="1" allowOverlap="1" wp14:anchorId="6F50404D" wp14:editId="74BFC5FA">
          <wp:simplePos x="0" y="0"/>
          <wp:positionH relativeFrom="column">
            <wp:posOffset>-92075</wp:posOffset>
          </wp:positionH>
          <wp:positionV relativeFrom="paragraph">
            <wp:posOffset>-230505</wp:posOffset>
          </wp:positionV>
          <wp:extent cx="1128395" cy="420370"/>
          <wp:effectExtent l="19050" t="0" r="0" b="0"/>
          <wp:wrapNone/>
          <wp:docPr id="6258" name="Immagine 7">
            <a:extLst xmlns:a="http://schemas.openxmlformats.org/drawingml/2006/main">
              <a:ext uri="{FF2B5EF4-FFF2-40B4-BE49-F238E27FC236}">
                <a16:creationId xmlns:a16="http://schemas.microsoft.com/office/drawing/2014/main" id="{F3144258-1102-42C3-8DE9-4A3F044B7E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8" name="Immagine 7">
                    <a:extLst>
                      <a:ext uri="{FF2B5EF4-FFF2-40B4-BE49-F238E27FC236}">
                        <a16:creationId xmlns:a16="http://schemas.microsoft.com/office/drawing/2014/main" id="{F3144258-1102-42C3-8DE9-4A3F044B7E5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4953">
      <w:rPr>
        <w:noProof/>
        <w:lang w:eastAsia="it-IT"/>
      </w:rPr>
      <w:drawing>
        <wp:anchor distT="0" distB="0" distL="114300" distR="114300" simplePos="0" relativeHeight="251704320" behindDoc="0" locked="0" layoutInCell="1" allowOverlap="1" wp14:anchorId="7C1AF955" wp14:editId="31DC3947">
          <wp:simplePos x="0" y="0"/>
          <wp:positionH relativeFrom="column">
            <wp:posOffset>2190750</wp:posOffset>
          </wp:positionH>
          <wp:positionV relativeFrom="paragraph">
            <wp:posOffset>-304165</wp:posOffset>
          </wp:positionV>
          <wp:extent cx="2319020" cy="575310"/>
          <wp:effectExtent l="0" t="0" r="5080" b="0"/>
          <wp:wrapNone/>
          <wp:docPr id="6257" name="Immagine 6">
            <a:extLst xmlns:a="http://schemas.openxmlformats.org/drawingml/2006/main">
              <a:ext uri="{FF2B5EF4-FFF2-40B4-BE49-F238E27FC236}">
                <a16:creationId xmlns:a16="http://schemas.microsoft.com/office/drawing/2014/main" id="{9BD8D514-073B-413C-937D-3DAB595204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" name="Immagine 6">
                    <a:extLst>
                      <a:ext uri="{FF2B5EF4-FFF2-40B4-BE49-F238E27FC236}">
                        <a16:creationId xmlns:a16="http://schemas.microsoft.com/office/drawing/2014/main" id="{9BD8D514-073B-413C-937D-3DAB595204C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39A"/>
    <w:multiLevelType w:val="hybridMultilevel"/>
    <w:tmpl w:val="D4E88A5C"/>
    <w:lvl w:ilvl="0" w:tplc="07E2E2BA">
      <w:numFmt w:val="bullet"/>
      <w:lvlText w:val=""/>
      <w:lvlJc w:val="left"/>
      <w:pPr>
        <w:ind w:left="76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0C90700"/>
    <w:multiLevelType w:val="hybridMultilevel"/>
    <w:tmpl w:val="97FC3522"/>
    <w:lvl w:ilvl="0" w:tplc="07E2E2BA">
      <w:numFmt w:val="bullet"/>
      <w:lvlText w:val=""/>
      <w:lvlJc w:val="left"/>
      <w:pPr>
        <w:ind w:left="2520" w:hanging="360"/>
      </w:pPr>
      <w:rPr>
        <w:rFonts w:ascii="Symbol" w:eastAsia="Times New Roman" w:hAnsi="Symbol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2584E"/>
    <w:multiLevelType w:val="hybridMultilevel"/>
    <w:tmpl w:val="DE948D10"/>
    <w:lvl w:ilvl="0" w:tplc="07E2E2BA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65BF0"/>
    <w:multiLevelType w:val="hybridMultilevel"/>
    <w:tmpl w:val="AD6ED1D0"/>
    <w:lvl w:ilvl="0" w:tplc="07E2E2BA">
      <w:numFmt w:val="bullet"/>
      <w:lvlText w:val=""/>
      <w:lvlJc w:val="left"/>
      <w:pPr>
        <w:ind w:left="2508" w:hanging="360"/>
      </w:pPr>
      <w:rPr>
        <w:rFonts w:ascii="Symbol" w:eastAsia="Times New Roman" w:hAnsi="Symbol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BF167C"/>
    <w:multiLevelType w:val="hybridMultilevel"/>
    <w:tmpl w:val="A490BAEC"/>
    <w:lvl w:ilvl="0" w:tplc="07E2E2BA">
      <w:numFmt w:val="bullet"/>
      <w:lvlText w:val=""/>
      <w:lvlJc w:val="left"/>
      <w:pPr>
        <w:ind w:left="2520" w:hanging="360"/>
      </w:pPr>
      <w:rPr>
        <w:rFonts w:ascii="Symbol" w:eastAsia="Times New Roman" w:hAnsi="Symbol" w:cs="Courier New" w:hint="default"/>
      </w:rPr>
    </w:lvl>
    <w:lvl w:ilvl="1" w:tplc="07E2E2BA">
      <w:numFmt w:val="bullet"/>
      <w:lvlText w:val=""/>
      <w:lvlJc w:val="left"/>
      <w:pPr>
        <w:ind w:left="2160" w:hanging="360"/>
      </w:pPr>
      <w:rPr>
        <w:rFonts w:ascii="Symbol" w:eastAsia="Times New Roman" w:hAnsi="Symbol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1567EF"/>
    <w:multiLevelType w:val="hybridMultilevel"/>
    <w:tmpl w:val="AA6EE47A"/>
    <w:lvl w:ilvl="0" w:tplc="07E2E2BA">
      <w:numFmt w:val="bullet"/>
      <w:lvlText w:val=""/>
      <w:lvlJc w:val="left"/>
      <w:pPr>
        <w:ind w:left="2136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C090A7C"/>
    <w:multiLevelType w:val="hybridMultilevel"/>
    <w:tmpl w:val="C546BF4A"/>
    <w:lvl w:ilvl="0" w:tplc="07E2E2B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A3323"/>
    <w:multiLevelType w:val="hybridMultilevel"/>
    <w:tmpl w:val="AD507938"/>
    <w:lvl w:ilvl="0" w:tplc="07E2E2BA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1D5C79"/>
    <w:multiLevelType w:val="hybridMultilevel"/>
    <w:tmpl w:val="835C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539F1"/>
    <w:multiLevelType w:val="hybridMultilevel"/>
    <w:tmpl w:val="47F6265A"/>
    <w:lvl w:ilvl="0" w:tplc="07E2E2BA">
      <w:numFmt w:val="bullet"/>
      <w:lvlText w:val=""/>
      <w:lvlJc w:val="left"/>
      <w:pPr>
        <w:ind w:left="2520" w:hanging="360"/>
      </w:pPr>
      <w:rPr>
        <w:rFonts w:ascii="Symbol" w:eastAsia="Times New Roman" w:hAnsi="Symbol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7153699">
    <w:abstractNumId w:val="7"/>
  </w:num>
  <w:num w:numId="2" w16cid:durableId="46536511">
    <w:abstractNumId w:val="2"/>
  </w:num>
  <w:num w:numId="3" w16cid:durableId="448932602">
    <w:abstractNumId w:val="3"/>
  </w:num>
  <w:num w:numId="4" w16cid:durableId="645016653">
    <w:abstractNumId w:val="9"/>
  </w:num>
  <w:num w:numId="5" w16cid:durableId="568728691">
    <w:abstractNumId w:val="1"/>
  </w:num>
  <w:num w:numId="6" w16cid:durableId="1185707723">
    <w:abstractNumId w:val="4"/>
  </w:num>
  <w:num w:numId="7" w16cid:durableId="1598056763">
    <w:abstractNumId w:val="0"/>
  </w:num>
  <w:num w:numId="8" w16cid:durableId="1773352109">
    <w:abstractNumId w:val="5"/>
  </w:num>
  <w:num w:numId="9" w16cid:durableId="1529484686">
    <w:abstractNumId w:val="6"/>
  </w:num>
  <w:num w:numId="10" w16cid:durableId="1907453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53"/>
    <w:rsid w:val="0003107F"/>
    <w:rsid w:val="000363DB"/>
    <w:rsid w:val="0003756A"/>
    <w:rsid w:val="00050567"/>
    <w:rsid w:val="000754BE"/>
    <w:rsid w:val="00081232"/>
    <w:rsid w:val="00086541"/>
    <w:rsid w:val="000933C4"/>
    <w:rsid w:val="000A6736"/>
    <w:rsid w:val="000B0C57"/>
    <w:rsid w:val="000B4560"/>
    <w:rsid w:val="000B4BC2"/>
    <w:rsid w:val="000D0C5E"/>
    <w:rsid w:val="000D1F67"/>
    <w:rsid w:val="000E08A9"/>
    <w:rsid w:val="000F5F98"/>
    <w:rsid w:val="00102723"/>
    <w:rsid w:val="00116103"/>
    <w:rsid w:val="00123F55"/>
    <w:rsid w:val="0012675E"/>
    <w:rsid w:val="00131D48"/>
    <w:rsid w:val="00137F7C"/>
    <w:rsid w:val="00155E0A"/>
    <w:rsid w:val="00166A9B"/>
    <w:rsid w:val="00174F6B"/>
    <w:rsid w:val="001B3556"/>
    <w:rsid w:val="001F7F6E"/>
    <w:rsid w:val="0020312E"/>
    <w:rsid w:val="00226F7A"/>
    <w:rsid w:val="002548AF"/>
    <w:rsid w:val="002559C0"/>
    <w:rsid w:val="0025626C"/>
    <w:rsid w:val="00260E57"/>
    <w:rsid w:val="00273E43"/>
    <w:rsid w:val="00277070"/>
    <w:rsid w:val="0028229B"/>
    <w:rsid w:val="002C379A"/>
    <w:rsid w:val="002E3C7E"/>
    <w:rsid w:val="00325DF3"/>
    <w:rsid w:val="00327857"/>
    <w:rsid w:val="003313CA"/>
    <w:rsid w:val="00332A6F"/>
    <w:rsid w:val="00341706"/>
    <w:rsid w:val="00350381"/>
    <w:rsid w:val="0035038F"/>
    <w:rsid w:val="003539B7"/>
    <w:rsid w:val="00354072"/>
    <w:rsid w:val="00361379"/>
    <w:rsid w:val="003739B5"/>
    <w:rsid w:val="00384546"/>
    <w:rsid w:val="00390D63"/>
    <w:rsid w:val="003C4459"/>
    <w:rsid w:val="003C5BCF"/>
    <w:rsid w:val="00400D00"/>
    <w:rsid w:val="0040269E"/>
    <w:rsid w:val="00403F49"/>
    <w:rsid w:val="004067BD"/>
    <w:rsid w:val="0040765A"/>
    <w:rsid w:val="00430AA9"/>
    <w:rsid w:val="0045168A"/>
    <w:rsid w:val="0046015B"/>
    <w:rsid w:val="00464949"/>
    <w:rsid w:val="00471517"/>
    <w:rsid w:val="00480A0A"/>
    <w:rsid w:val="00496E8E"/>
    <w:rsid w:val="004B3A14"/>
    <w:rsid w:val="004C5819"/>
    <w:rsid w:val="004E5E19"/>
    <w:rsid w:val="00506EAC"/>
    <w:rsid w:val="00530FBF"/>
    <w:rsid w:val="005436BB"/>
    <w:rsid w:val="0054675C"/>
    <w:rsid w:val="005521C4"/>
    <w:rsid w:val="005532C4"/>
    <w:rsid w:val="005610F9"/>
    <w:rsid w:val="00564D98"/>
    <w:rsid w:val="00586616"/>
    <w:rsid w:val="005B34C7"/>
    <w:rsid w:val="005D1F15"/>
    <w:rsid w:val="005D5759"/>
    <w:rsid w:val="005E28BA"/>
    <w:rsid w:val="005F1E3D"/>
    <w:rsid w:val="00620B30"/>
    <w:rsid w:val="0062147F"/>
    <w:rsid w:val="00624CA9"/>
    <w:rsid w:val="00635545"/>
    <w:rsid w:val="006512C8"/>
    <w:rsid w:val="0065332F"/>
    <w:rsid w:val="00666ECD"/>
    <w:rsid w:val="00687189"/>
    <w:rsid w:val="00696B18"/>
    <w:rsid w:val="006C266D"/>
    <w:rsid w:val="00704227"/>
    <w:rsid w:val="00704E82"/>
    <w:rsid w:val="00710C83"/>
    <w:rsid w:val="007373EB"/>
    <w:rsid w:val="00755B35"/>
    <w:rsid w:val="00782E51"/>
    <w:rsid w:val="007C267B"/>
    <w:rsid w:val="007C388A"/>
    <w:rsid w:val="007E24C8"/>
    <w:rsid w:val="00800FC7"/>
    <w:rsid w:val="00816BE4"/>
    <w:rsid w:val="0084245E"/>
    <w:rsid w:val="00847F82"/>
    <w:rsid w:val="00856A76"/>
    <w:rsid w:val="008624B1"/>
    <w:rsid w:val="00862738"/>
    <w:rsid w:val="00886018"/>
    <w:rsid w:val="00887367"/>
    <w:rsid w:val="00892A29"/>
    <w:rsid w:val="008951B3"/>
    <w:rsid w:val="008A272F"/>
    <w:rsid w:val="008B767E"/>
    <w:rsid w:val="008C0F8B"/>
    <w:rsid w:val="008D60F1"/>
    <w:rsid w:val="008E5382"/>
    <w:rsid w:val="009325BF"/>
    <w:rsid w:val="009434D3"/>
    <w:rsid w:val="00944C60"/>
    <w:rsid w:val="009500E4"/>
    <w:rsid w:val="00960C1E"/>
    <w:rsid w:val="00961FDD"/>
    <w:rsid w:val="00970A5A"/>
    <w:rsid w:val="00974C85"/>
    <w:rsid w:val="009A43DB"/>
    <w:rsid w:val="009A6B38"/>
    <w:rsid w:val="009B4D0C"/>
    <w:rsid w:val="009E7EB0"/>
    <w:rsid w:val="009F2176"/>
    <w:rsid w:val="00A0390F"/>
    <w:rsid w:val="00A414A7"/>
    <w:rsid w:val="00A42AEF"/>
    <w:rsid w:val="00A43A72"/>
    <w:rsid w:val="00A561FB"/>
    <w:rsid w:val="00A60445"/>
    <w:rsid w:val="00A8133C"/>
    <w:rsid w:val="00A92C27"/>
    <w:rsid w:val="00AA1CFA"/>
    <w:rsid w:val="00AA5E7B"/>
    <w:rsid w:val="00AF222B"/>
    <w:rsid w:val="00AF6C39"/>
    <w:rsid w:val="00B04AE6"/>
    <w:rsid w:val="00B07F35"/>
    <w:rsid w:val="00B242A3"/>
    <w:rsid w:val="00B41E05"/>
    <w:rsid w:val="00B44922"/>
    <w:rsid w:val="00B57E69"/>
    <w:rsid w:val="00BC0D1C"/>
    <w:rsid w:val="00BD2A7B"/>
    <w:rsid w:val="00BD3713"/>
    <w:rsid w:val="00BF719C"/>
    <w:rsid w:val="00C13050"/>
    <w:rsid w:val="00C27CCA"/>
    <w:rsid w:val="00C27E0E"/>
    <w:rsid w:val="00C828FE"/>
    <w:rsid w:val="00CA1EDC"/>
    <w:rsid w:val="00CB0A1A"/>
    <w:rsid w:val="00CD091C"/>
    <w:rsid w:val="00CF0B78"/>
    <w:rsid w:val="00D11F2C"/>
    <w:rsid w:val="00D23F05"/>
    <w:rsid w:val="00D40111"/>
    <w:rsid w:val="00D56E46"/>
    <w:rsid w:val="00D81F21"/>
    <w:rsid w:val="00D82045"/>
    <w:rsid w:val="00D856EB"/>
    <w:rsid w:val="00D85CE4"/>
    <w:rsid w:val="00D9177D"/>
    <w:rsid w:val="00D91D99"/>
    <w:rsid w:val="00D920CC"/>
    <w:rsid w:val="00D95C56"/>
    <w:rsid w:val="00DA1CB4"/>
    <w:rsid w:val="00DA4AB6"/>
    <w:rsid w:val="00DC5F21"/>
    <w:rsid w:val="00DF1929"/>
    <w:rsid w:val="00DF290B"/>
    <w:rsid w:val="00DF6F0E"/>
    <w:rsid w:val="00E05B3E"/>
    <w:rsid w:val="00E36AD7"/>
    <w:rsid w:val="00E44953"/>
    <w:rsid w:val="00E44EB5"/>
    <w:rsid w:val="00E91273"/>
    <w:rsid w:val="00EB15EA"/>
    <w:rsid w:val="00EC09DE"/>
    <w:rsid w:val="00EC7BDE"/>
    <w:rsid w:val="00EE3C68"/>
    <w:rsid w:val="00F15EE1"/>
    <w:rsid w:val="00F2584D"/>
    <w:rsid w:val="00F30929"/>
    <w:rsid w:val="00F42E1F"/>
    <w:rsid w:val="00F45D6B"/>
    <w:rsid w:val="00F46842"/>
    <w:rsid w:val="00F53009"/>
    <w:rsid w:val="00F5684B"/>
    <w:rsid w:val="00F64035"/>
    <w:rsid w:val="00F66D65"/>
    <w:rsid w:val="00F6753B"/>
    <w:rsid w:val="00F83B83"/>
    <w:rsid w:val="00F96C6D"/>
    <w:rsid w:val="00FA2815"/>
    <w:rsid w:val="00FB7B51"/>
    <w:rsid w:val="00FC1CC1"/>
    <w:rsid w:val="00FD5136"/>
    <w:rsid w:val="00FD55E1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6F5BD"/>
  <w15:docId w15:val="{253F9B25-A61F-4207-AE15-60043A1E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953"/>
  </w:style>
  <w:style w:type="paragraph" w:styleId="Pidipagina">
    <w:name w:val="footer"/>
    <w:basedOn w:val="Normale"/>
    <w:link w:val="PidipaginaCarattere"/>
    <w:uiPriority w:val="99"/>
    <w:unhideWhenUsed/>
    <w:rsid w:val="00E44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953"/>
  </w:style>
  <w:style w:type="paragraph" w:styleId="NormaleWeb">
    <w:name w:val="Normal (Web)"/>
    <w:basedOn w:val="Normale"/>
    <w:uiPriority w:val="99"/>
    <w:unhideWhenUsed/>
    <w:rsid w:val="00E4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42E1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68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68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6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A28B-1ED3-4661-B2CB-CD14FEDA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Piazza</dc:creator>
  <cp:lastModifiedBy>Loredana Capuozzo</cp:lastModifiedBy>
  <cp:revision>9</cp:revision>
  <dcterms:created xsi:type="dcterms:W3CDTF">2022-08-03T09:44:00Z</dcterms:created>
  <dcterms:modified xsi:type="dcterms:W3CDTF">2022-08-05T08:54:00Z</dcterms:modified>
</cp:coreProperties>
</file>