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B621C" w14:textId="77777777" w:rsidR="00A14736" w:rsidRPr="00C4326A" w:rsidRDefault="00A14736" w:rsidP="00A14736">
      <w:pPr>
        <w:shd w:val="clear" w:color="auto" w:fill="FFFFFF"/>
        <w:spacing w:after="0" w:line="240" w:lineRule="auto"/>
        <w:jc w:val="center"/>
        <w:rPr>
          <w:rFonts w:asciiTheme="minorHAnsi" w:hAnsiTheme="minorHAnsi" w:cstheme="minorHAnsi"/>
          <w:b/>
          <w:bCs/>
          <w:sz w:val="20"/>
          <w:szCs w:val="20"/>
          <w:u w:val="single"/>
          <w:lang w:eastAsia="it-IT"/>
        </w:rPr>
      </w:pPr>
      <w:r w:rsidRPr="00C4326A">
        <w:rPr>
          <w:rFonts w:asciiTheme="minorHAnsi" w:hAnsiTheme="minorHAnsi" w:cstheme="minorHAnsi"/>
          <w:b/>
          <w:bCs/>
          <w:sz w:val="20"/>
          <w:szCs w:val="20"/>
          <w:u w:val="single"/>
          <w:lang w:eastAsia="it-IT"/>
        </w:rPr>
        <w:t>QUATTORDICESIMO RAPPORTO GREENITALY DI FONDAZIONE SYMBOLA E UNIONCAMERE</w:t>
      </w:r>
    </w:p>
    <w:p w14:paraId="006F7FBA" w14:textId="77777777" w:rsidR="006E28EF" w:rsidRPr="00C4326A" w:rsidRDefault="006E28EF" w:rsidP="00A14736">
      <w:pPr>
        <w:shd w:val="clear" w:color="auto" w:fill="FFFFFF"/>
        <w:spacing w:after="0" w:line="240" w:lineRule="auto"/>
        <w:jc w:val="center"/>
        <w:rPr>
          <w:rFonts w:asciiTheme="minorHAnsi" w:hAnsiTheme="minorHAnsi" w:cstheme="minorHAnsi"/>
          <w:b/>
          <w:bCs/>
          <w:sz w:val="20"/>
          <w:szCs w:val="20"/>
          <w:u w:val="single"/>
          <w:lang w:eastAsia="it-IT"/>
        </w:rPr>
      </w:pPr>
    </w:p>
    <w:p w14:paraId="5083B4D9" w14:textId="77777777" w:rsidR="00A14736" w:rsidRPr="00C4326A" w:rsidRDefault="00A14736" w:rsidP="00A14736">
      <w:pPr>
        <w:shd w:val="clear" w:color="auto" w:fill="FFFFFF"/>
        <w:spacing w:after="0" w:line="240" w:lineRule="auto"/>
        <w:jc w:val="center"/>
        <w:rPr>
          <w:rFonts w:ascii="Arial" w:hAnsi="Arial" w:cs="Arial"/>
          <w:b/>
          <w:bCs/>
          <w:sz w:val="20"/>
          <w:szCs w:val="20"/>
          <w:lang w:eastAsia="it-IT"/>
        </w:rPr>
      </w:pPr>
    </w:p>
    <w:p w14:paraId="67BDBE19" w14:textId="146E4E48" w:rsidR="00A14736" w:rsidRPr="00C4326A" w:rsidRDefault="00A14736" w:rsidP="00A14736">
      <w:pPr>
        <w:shd w:val="clear" w:color="auto" w:fill="FFFFFF"/>
        <w:spacing w:after="0" w:line="240" w:lineRule="auto"/>
        <w:jc w:val="center"/>
        <w:rPr>
          <w:rFonts w:asciiTheme="minorHAnsi" w:eastAsiaTheme="minorHAnsi" w:hAnsiTheme="minorHAnsi" w:cstheme="minorHAnsi"/>
          <w:b/>
          <w:bCs/>
          <w:color w:val="DA0000"/>
          <w:sz w:val="20"/>
          <w:szCs w:val="20"/>
        </w:rPr>
      </w:pPr>
      <w:r w:rsidRPr="00C4326A">
        <w:rPr>
          <w:rFonts w:asciiTheme="minorHAnsi" w:eastAsiaTheme="minorHAnsi" w:hAnsiTheme="minorHAnsi" w:cstheme="minorHAnsi"/>
          <w:b/>
          <w:bCs/>
          <w:sz w:val="20"/>
          <w:szCs w:val="20"/>
        </w:rPr>
        <w:t>UN’ECONOMIA A MISURA D’UOMO CONTRO L</w:t>
      </w:r>
      <w:r w:rsidR="00B7282B" w:rsidRPr="00C4326A">
        <w:rPr>
          <w:rFonts w:asciiTheme="minorHAnsi" w:eastAsiaTheme="minorHAnsi" w:hAnsiTheme="minorHAnsi" w:cstheme="minorHAnsi"/>
          <w:b/>
          <w:bCs/>
          <w:sz w:val="20"/>
          <w:szCs w:val="20"/>
        </w:rPr>
        <w:t>E</w:t>
      </w:r>
      <w:r w:rsidRPr="00C4326A">
        <w:rPr>
          <w:rFonts w:asciiTheme="minorHAnsi" w:eastAsiaTheme="minorHAnsi" w:hAnsiTheme="minorHAnsi" w:cstheme="minorHAnsi"/>
          <w:b/>
          <w:bCs/>
          <w:sz w:val="20"/>
          <w:szCs w:val="20"/>
        </w:rPr>
        <w:t xml:space="preserve"> CRISI </w:t>
      </w:r>
    </w:p>
    <w:p w14:paraId="7532C582" w14:textId="77777777" w:rsidR="00A14736" w:rsidRPr="00C4326A" w:rsidRDefault="00A14736" w:rsidP="00A14736">
      <w:pPr>
        <w:shd w:val="clear" w:color="auto" w:fill="FFFFFF"/>
        <w:spacing w:after="0" w:line="240" w:lineRule="auto"/>
        <w:jc w:val="center"/>
        <w:rPr>
          <w:rFonts w:ascii="AktivGroteskCorp-Regular" w:eastAsiaTheme="minorHAnsi" w:hAnsi="AktivGroteskCorp-Regular" w:cs="AktivGroteskCorp-Regular"/>
          <w:color w:val="DA0000"/>
          <w:sz w:val="20"/>
          <w:szCs w:val="20"/>
        </w:rPr>
      </w:pPr>
    </w:p>
    <w:p w14:paraId="37CFF2CE" w14:textId="79CAD7FA" w:rsidR="00A14736" w:rsidRPr="00C4326A" w:rsidRDefault="00A14736" w:rsidP="00A14736">
      <w:pPr>
        <w:shd w:val="clear" w:color="auto" w:fill="FFFFFF"/>
        <w:spacing w:after="0" w:line="240" w:lineRule="auto"/>
        <w:jc w:val="center"/>
        <w:rPr>
          <w:rFonts w:asciiTheme="minorHAnsi" w:hAnsiTheme="minorHAnsi" w:cstheme="minorHAnsi"/>
          <w:b/>
          <w:bCs/>
          <w:sz w:val="20"/>
          <w:szCs w:val="20"/>
          <w:lang w:eastAsia="it-IT"/>
        </w:rPr>
      </w:pPr>
      <w:r w:rsidRPr="00C4326A">
        <w:rPr>
          <w:rFonts w:asciiTheme="minorHAnsi" w:hAnsiTheme="minorHAnsi" w:cstheme="minorHAnsi"/>
          <w:b/>
          <w:bCs/>
          <w:sz w:val="20"/>
          <w:szCs w:val="20"/>
          <w:lang w:eastAsia="it-IT"/>
        </w:rPr>
        <w:t>LE IMPRESE GREEN AFFRONTANO MEGLIO L</w:t>
      </w:r>
      <w:r w:rsidR="00E448A7" w:rsidRPr="00C4326A">
        <w:rPr>
          <w:rFonts w:asciiTheme="minorHAnsi" w:hAnsiTheme="minorHAnsi" w:cstheme="minorHAnsi"/>
          <w:b/>
          <w:bCs/>
          <w:sz w:val="20"/>
          <w:szCs w:val="20"/>
          <w:lang w:eastAsia="it-IT"/>
        </w:rPr>
        <w:t>E</w:t>
      </w:r>
      <w:r w:rsidRPr="00C4326A">
        <w:rPr>
          <w:rFonts w:asciiTheme="minorHAnsi" w:hAnsiTheme="minorHAnsi" w:cstheme="minorHAnsi"/>
          <w:b/>
          <w:bCs/>
          <w:sz w:val="20"/>
          <w:szCs w:val="20"/>
          <w:lang w:eastAsia="it-IT"/>
        </w:rPr>
        <w:t xml:space="preserve"> CRISI</w:t>
      </w:r>
    </w:p>
    <w:p w14:paraId="3FA295F0" w14:textId="77777777" w:rsidR="00A14736" w:rsidRPr="00C4326A" w:rsidRDefault="00A14736" w:rsidP="00A14736">
      <w:pPr>
        <w:shd w:val="clear" w:color="auto" w:fill="FFFFFF"/>
        <w:spacing w:after="0" w:line="240" w:lineRule="auto"/>
        <w:jc w:val="center"/>
        <w:rPr>
          <w:rFonts w:asciiTheme="minorHAnsi" w:hAnsiTheme="minorHAnsi" w:cstheme="minorHAnsi"/>
          <w:b/>
          <w:bCs/>
          <w:sz w:val="20"/>
          <w:szCs w:val="20"/>
          <w:lang w:eastAsia="it-IT"/>
        </w:rPr>
      </w:pPr>
    </w:p>
    <w:p w14:paraId="5B5EEE81" w14:textId="4640C2D0" w:rsidR="00A14736" w:rsidRPr="00C4326A" w:rsidRDefault="00C141E2" w:rsidP="00A14736">
      <w:pPr>
        <w:shd w:val="clear" w:color="auto" w:fill="FFFFFF"/>
        <w:spacing w:after="0" w:line="240" w:lineRule="auto"/>
        <w:jc w:val="center"/>
        <w:rPr>
          <w:rFonts w:asciiTheme="minorHAnsi" w:hAnsiTheme="minorHAnsi" w:cstheme="minorHAnsi"/>
          <w:b/>
          <w:bCs/>
          <w:sz w:val="20"/>
          <w:szCs w:val="20"/>
          <w:lang w:eastAsia="it-IT"/>
        </w:rPr>
      </w:pPr>
      <w:r w:rsidRPr="00C4326A">
        <w:rPr>
          <w:rFonts w:asciiTheme="minorHAnsi" w:hAnsiTheme="minorHAnsi" w:cstheme="minorHAnsi"/>
          <w:b/>
          <w:bCs/>
          <w:sz w:val="20"/>
          <w:szCs w:val="20"/>
          <w:lang w:eastAsia="it-IT"/>
        </w:rPr>
        <w:t>510</w:t>
      </w:r>
      <w:r w:rsidR="00A14736" w:rsidRPr="00C4326A">
        <w:rPr>
          <w:rFonts w:asciiTheme="minorHAnsi" w:hAnsiTheme="minorHAnsi" w:cstheme="minorHAnsi"/>
          <w:b/>
          <w:bCs/>
          <w:sz w:val="20"/>
          <w:szCs w:val="20"/>
          <w:lang w:eastAsia="it-IT"/>
        </w:rPr>
        <w:t xml:space="preserve"> MILA IMPRESE ITALIANE NEGLI ULTIMI 5 ANNI HANNO INVESTITO SULLA GREEN ECONOMY E SULLA SOSTENIBILITÀ PER AFFRONTARE IL FUTURO</w:t>
      </w:r>
    </w:p>
    <w:p w14:paraId="63F0AE4B" w14:textId="77777777" w:rsidR="00A14736" w:rsidRPr="00C4326A" w:rsidRDefault="00A14736" w:rsidP="00A14736">
      <w:pPr>
        <w:shd w:val="clear" w:color="auto" w:fill="FFFFFF"/>
        <w:spacing w:after="0" w:line="240" w:lineRule="auto"/>
        <w:jc w:val="center"/>
        <w:rPr>
          <w:rFonts w:asciiTheme="minorHAnsi" w:hAnsiTheme="minorHAnsi" w:cstheme="minorHAnsi"/>
          <w:b/>
          <w:bCs/>
          <w:sz w:val="20"/>
          <w:szCs w:val="20"/>
          <w:lang w:eastAsia="it-IT"/>
        </w:rPr>
      </w:pPr>
    </w:p>
    <w:p w14:paraId="235B4E83" w14:textId="0683E2BC" w:rsidR="00A14736" w:rsidRPr="00C4326A" w:rsidRDefault="00A14736" w:rsidP="00A14736">
      <w:pPr>
        <w:shd w:val="clear" w:color="auto" w:fill="FFFFFF"/>
        <w:spacing w:after="0" w:line="240" w:lineRule="auto"/>
        <w:jc w:val="center"/>
        <w:rPr>
          <w:rFonts w:asciiTheme="minorHAnsi" w:hAnsiTheme="minorHAnsi" w:cstheme="minorHAnsi"/>
          <w:b/>
          <w:bCs/>
          <w:sz w:val="20"/>
          <w:szCs w:val="20"/>
          <w:lang w:eastAsia="it-IT"/>
        </w:rPr>
      </w:pPr>
      <w:r w:rsidRPr="00C4326A">
        <w:rPr>
          <w:rFonts w:asciiTheme="minorHAnsi" w:hAnsiTheme="minorHAnsi" w:cstheme="minorHAnsi"/>
          <w:b/>
          <w:bCs/>
          <w:sz w:val="20"/>
          <w:szCs w:val="20"/>
          <w:lang w:eastAsia="it-IT"/>
        </w:rPr>
        <w:t>IN ITALIA 3,</w:t>
      </w:r>
      <w:r w:rsidR="007B4F7D" w:rsidRPr="00C4326A">
        <w:rPr>
          <w:rFonts w:asciiTheme="minorHAnsi" w:hAnsiTheme="minorHAnsi" w:cstheme="minorHAnsi"/>
          <w:b/>
          <w:bCs/>
          <w:sz w:val="20"/>
          <w:szCs w:val="20"/>
          <w:lang w:eastAsia="it-IT"/>
        </w:rPr>
        <w:t>2</w:t>
      </w:r>
      <w:r w:rsidRPr="00C4326A">
        <w:rPr>
          <w:rFonts w:asciiTheme="minorHAnsi" w:hAnsiTheme="minorHAnsi" w:cstheme="minorHAnsi"/>
          <w:b/>
          <w:bCs/>
          <w:sz w:val="20"/>
          <w:szCs w:val="20"/>
          <w:lang w:eastAsia="it-IT"/>
        </w:rPr>
        <w:t xml:space="preserve"> MILIONI DI GREEN JOBS, IL 13,</w:t>
      </w:r>
      <w:r w:rsidR="0000408E" w:rsidRPr="00C4326A">
        <w:rPr>
          <w:rFonts w:asciiTheme="minorHAnsi" w:hAnsiTheme="minorHAnsi" w:cstheme="minorHAnsi"/>
          <w:b/>
          <w:bCs/>
          <w:sz w:val="20"/>
          <w:szCs w:val="20"/>
          <w:lang w:eastAsia="it-IT"/>
        </w:rPr>
        <w:t>9</w:t>
      </w:r>
      <w:r w:rsidRPr="00C4326A">
        <w:rPr>
          <w:rFonts w:asciiTheme="minorHAnsi" w:hAnsiTheme="minorHAnsi" w:cstheme="minorHAnsi"/>
          <w:b/>
          <w:bCs/>
          <w:sz w:val="20"/>
          <w:szCs w:val="20"/>
          <w:lang w:eastAsia="it-IT"/>
        </w:rPr>
        <w:t>% DEGLI OCCUPATI</w:t>
      </w:r>
    </w:p>
    <w:p w14:paraId="00DFB436" w14:textId="77777777" w:rsidR="00A14736" w:rsidRPr="00C4326A" w:rsidRDefault="00A14736" w:rsidP="00A14736">
      <w:pPr>
        <w:shd w:val="clear" w:color="auto" w:fill="FFFFFF"/>
        <w:spacing w:after="0" w:line="240" w:lineRule="auto"/>
        <w:rPr>
          <w:rFonts w:asciiTheme="minorHAnsi" w:hAnsiTheme="minorHAnsi" w:cstheme="minorHAnsi"/>
          <w:b/>
          <w:bCs/>
          <w:sz w:val="20"/>
          <w:szCs w:val="20"/>
          <w:lang w:eastAsia="it-IT"/>
        </w:rPr>
      </w:pPr>
    </w:p>
    <w:p w14:paraId="21112D12" w14:textId="77777777" w:rsidR="00A14736" w:rsidRPr="00C4326A" w:rsidRDefault="00A14736" w:rsidP="00A14736">
      <w:pPr>
        <w:shd w:val="clear" w:color="auto" w:fill="FFFFFF"/>
        <w:spacing w:after="0" w:line="240" w:lineRule="auto"/>
        <w:jc w:val="center"/>
        <w:rPr>
          <w:rFonts w:asciiTheme="minorHAnsi" w:hAnsiTheme="minorHAnsi" w:cstheme="minorHAnsi"/>
          <w:b/>
          <w:bCs/>
          <w:sz w:val="20"/>
          <w:szCs w:val="20"/>
          <w:lang w:eastAsia="it-IT"/>
        </w:rPr>
      </w:pPr>
    </w:p>
    <w:p w14:paraId="2AFAE0E3" w14:textId="195F60F5" w:rsidR="00A14736" w:rsidRPr="00C4326A" w:rsidRDefault="00A14736" w:rsidP="00A14736">
      <w:pPr>
        <w:shd w:val="clear" w:color="auto" w:fill="FFFFFF"/>
        <w:spacing w:after="0" w:line="240" w:lineRule="auto"/>
        <w:jc w:val="center"/>
        <w:rPr>
          <w:rFonts w:asciiTheme="minorHAnsi" w:hAnsiTheme="minorHAnsi" w:cstheme="minorHAnsi"/>
          <w:b/>
          <w:bCs/>
          <w:sz w:val="20"/>
          <w:szCs w:val="20"/>
          <w:lang w:eastAsia="it-IT"/>
        </w:rPr>
      </w:pPr>
      <w:r w:rsidRPr="00C4326A">
        <w:rPr>
          <w:rFonts w:asciiTheme="minorHAnsi" w:hAnsiTheme="minorHAnsi" w:cstheme="minorHAnsi"/>
          <w:b/>
          <w:bCs/>
          <w:sz w:val="20"/>
          <w:szCs w:val="20"/>
          <w:lang w:eastAsia="it-IT"/>
        </w:rPr>
        <w:t>L’ITALIA È LEADER NELL’ECONOMIA CIRCOLARE E HA LA PIÙ ALTA PERCENTUALE DI AVVIO A RICICLO SULLA TOTALITÀ DEI RIFIUTI: L’83,4%, 30 PUNTI PERCENTUALI IN PIÙ RISPETTO ALLA MEDIA EUROPEA</w:t>
      </w:r>
      <w:r w:rsidR="00B73727">
        <w:rPr>
          <w:rFonts w:asciiTheme="minorHAnsi" w:hAnsiTheme="minorHAnsi" w:cstheme="minorHAnsi"/>
          <w:b/>
          <w:bCs/>
          <w:sz w:val="20"/>
          <w:szCs w:val="20"/>
          <w:lang w:eastAsia="it-IT"/>
        </w:rPr>
        <w:t>,</w:t>
      </w:r>
      <w:r w:rsidRPr="00C4326A">
        <w:rPr>
          <w:rFonts w:asciiTheme="minorHAnsi" w:hAnsiTheme="minorHAnsi" w:cstheme="minorHAnsi"/>
          <w:b/>
          <w:bCs/>
          <w:sz w:val="20"/>
          <w:szCs w:val="20"/>
          <w:lang w:eastAsia="it-IT"/>
        </w:rPr>
        <w:t xml:space="preserve"> CON UNA CRESCITA STORICA NELL’ IMPIEGO DI MATERIA SECONDA NEI SETTORI INDUSTRIALI NEL BIENNIO 2020-2021</w:t>
      </w:r>
    </w:p>
    <w:p w14:paraId="75921F2B" w14:textId="77777777" w:rsidR="00A14736" w:rsidRPr="00C4326A" w:rsidRDefault="00A14736" w:rsidP="00A14736">
      <w:pPr>
        <w:shd w:val="clear" w:color="auto" w:fill="FFFFFF"/>
        <w:spacing w:after="0" w:line="240" w:lineRule="auto"/>
        <w:jc w:val="center"/>
        <w:rPr>
          <w:rFonts w:asciiTheme="minorHAnsi" w:hAnsiTheme="minorHAnsi" w:cstheme="minorHAnsi"/>
          <w:sz w:val="20"/>
          <w:szCs w:val="20"/>
          <w:lang w:eastAsia="it-IT"/>
        </w:rPr>
      </w:pPr>
    </w:p>
    <w:p w14:paraId="5D9DC5CA" w14:textId="77777777" w:rsidR="00BD6EF4" w:rsidRDefault="00BD6EF4" w:rsidP="00BD6EF4">
      <w:pPr>
        <w:shd w:val="clear" w:color="auto" w:fill="FFFFFF"/>
        <w:spacing w:after="0" w:line="240" w:lineRule="auto"/>
        <w:jc w:val="both"/>
        <w:rPr>
          <w:rFonts w:asciiTheme="minorHAnsi" w:hAnsiTheme="minorHAnsi" w:cstheme="minorHAnsi"/>
          <w:b/>
          <w:bCs/>
          <w:sz w:val="20"/>
          <w:szCs w:val="20"/>
          <w:lang w:eastAsia="it-IT"/>
        </w:rPr>
      </w:pPr>
    </w:p>
    <w:p w14:paraId="5A871FE4" w14:textId="77777777" w:rsidR="00BD6EF4" w:rsidRDefault="00BD6EF4" w:rsidP="00BD6EF4">
      <w:pPr>
        <w:shd w:val="clear" w:color="auto" w:fill="FFFFFF"/>
        <w:spacing w:after="0" w:line="240" w:lineRule="auto"/>
        <w:jc w:val="both"/>
        <w:rPr>
          <w:rFonts w:asciiTheme="minorHAnsi" w:hAnsiTheme="minorHAnsi" w:cstheme="minorHAnsi"/>
          <w:b/>
          <w:bCs/>
          <w:sz w:val="20"/>
          <w:szCs w:val="20"/>
          <w:lang w:eastAsia="it-IT"/>
        </w:rPr>
      </w:pPr>
    </w:p>
    <w:p w14:paraId="6D00FA76" w14:textId="77777777" w:rsidR="00BD6EF4" w:rsidRDefault="00BD6EF4" w:rsidP="00BD6EF4">
      <w:pPr>
        <w:shd w:val="clear" w:color="auto" w:fill="FFFFFF"/>
        <w:spacing w:after="0" w:line="240" w:lineRule="auto"/>
        <w:jc w:val="both"/>
        <w:rPr>
          <w:rFonts w:asciiTheme="minorHAnsi" w:hAnsiTheme="minorHAnsi" w:cstheme="minorHAnsi"/>
          <w:b/>
          <w:bCs/>
          <w:sz w:val="20"/>
          <w:szCs w:val="20"/>
          <w:lang w:eastAsia="it-IT"/>
        </w:rPr>
      </w:pPr>
    </w:p>
    <w:p w14:paraId="21124E39" w14:textId="3C1867D4" w:rsidR="002642AB" w:rsidRPr="00354D88" w:rsidRDefault="002642AB" w:rsidP="002642AB">
      <w:pPr>
        <w:shd w:val="clear" w:color="auto" w:fill="FFFFFF"/>
        <w:spacing w:after="0" w:line="240" w:lineRule="auto"/>
        <w:jc w:val="both"/>
        <w:rPr>
          <w:rFonts w:asciiTheme="minorHAnsi" w:hAnsiTheme="minorHAnsi" w:cstheme="minorHAnsi"/>
          <w:b/>
          <w:bCs/>
          <w:sz w:val="20"/>
          <w:szCs w:val="20"/>
          <w:lang w:eastAsia="it-IT"/>
        </w:rPr>
      </w:pPr>
      <w:r w:rsidRPr="00354D88">
        <w:rPr>
          <w:rFonts w:asciiTheme="minorHAnsi" w:hAnsiTheme="minorHAnsi" w:cstheme="minorHAnsi"/>
          <w:b/>
          <w:bCs/>
          <w:sz w:val="20"/>
          <w:szCs w:val="20"/>
          <w:lang w:eastAsia="it-IT"/>
        </w:rPr>
        <w:t xml:space="preserve">REALACCI: </w:t>
      </w:r>
      <w:r w:rsidRPr="00354D88">
        <w:rPr>
          <w:rFonts w:asciiTheme="minorHAnsi" w:hAnsiTheme="minorHAnsi" w:cstheme="minorHAnsi"/>
          <w:b/>
          <w:bCs/>
          <w:sz w:val="20"/>
          <w:szCs w:val="20"/>
        </w:rPr>
        <w:t xml:space="preserve">“SUL TENTATIVO DI NEGARE O SMINUIRE LA PORTATA DELLA CRISI CLIMATICA, PAPA FRANCESCO, CON L’ESORTAZIONE APOSTOLICA LAUDATE DEUM, HA DETTO PAROLE CHIARE IN VISTA DELLA COP28 DI DUBAI. UNA CRISI LEGATA A DOPPIO FILO A DINAMICHE AMBIENTALI, ECONOMICHE, SOCIALI. NON POSSIAMO PERMETTERCI LE INCERTEZZE CON CUI PROCEDE L’ATTUAZIONE DELL’AGENDA 2030. ANCHE IN ALCUNE POLITICHE DEL NOSTRO PAESE. PENSIAMO AL RITARDO SULLE ENERGIE RINNOVABILI. SONO 510 MILA LE IMPRESE ITALIANE CHE NEGLI ULTIMI CINQUE ANNI HANNO INVESTITO SULLA GREEN ECONOMY E SONO 3,2 MILIONI I GREENJOBS. ACCELERARE GLI INVESTIMENTI NELLA TRANSIZIONE VERDE E NELLE ENERGIE RINNOVABILI AUMENTA LA STABILITÀ FINANZIARIA COME DIMOSTRANO GLI STUDI DELLA BCE E DELLA BANCA D’ITALIA, DÀ FORZA AL MADE IN ITALY, RIDUCE I COSTI A MEDIO TERMINE PER FAMIGLIE E IMPRESE, RAFFORZA LA NOSTRA INDIPENDENZA ENERGETICA. </w:t>
      </w:r>
      <w:r w:rsidR="00C51D5C" w:rsidRPr="00354D88">
        <w:rPr>
          <w:rFonts w:asciiTheme="minorHAnsi" w:hAnsiTheme="minorHAnsi" w:cstheme="minorHAnsi"/>
          <w:b/>
          <w:bCs/>
          <w:sz w:val="20"/>
          <w:szCs w:val="20"/>
          <w:lang w:eastAsia="it-IT"/>
        </w:rPr>
        <w:t>SIAMO UNA SUPERPOTENZA EUROPEA DELL’ECONOMIA CIRCOLARE E QUESTO CI RENDE PIÙ COMPETITIVI E CAPACI DI FUTURO</w:t>
      </w:r>
      <w:r w:rsidR="00C51D5C">
        <w:rPr>
          <w:rFonts w:asciiTheme="minorHAnsi" w:hAnsiTheme="minorHAnsi" w:cstheme="minorHAnsi"/>
          <w:b/>
          <w:bCs/>
          <w:sz w:val="20"/>
          <w:szCs w:val="20"/>
          <w:lang w:eastAsia="it-IT"/>
        </w:rPr>
        <w:t xml:space="preserve">. </w:t>
      </w:r>
      <w:r w:rsidRPr="00354D88">
        <w:rPr>
          <w:rFonts w:asciiTheme="minorHAnsi" w:hAnsiTheme="minorHAnsi" w:cstheme="minorHAnsi"/>
          <w:b/>
          <w:bCs/>
          <w:sz w:val="20"/>
          <w:szCs w:val="20"/>
          <w:lang w:eastAsia="it-IT"/>
        </w:rPr>
        <w:t>NEL RAPPORTO GREENITALY SI LEGGE UN’ITALIA CHE VA VERSO UN’ECONOMIA PIÙ A MISURA D’UOMO CHE PUNTA SULLA SOSTENIBILITÀ, SULL’INNOVAZIONE, SULLE COMUNITÀ E SUI TERRITORI”.</w:t>
      </w:r>
    </w:p>
    <w:p w14:paraId="4C4AD664" w14:textId="564FA783" w:rsidR="00BD6EF4" w:rsidRDefault="00BD6EF4" w:rsidP="00BD6EF4">
      <w:pPr>
        <w:shd w:val="clear" w:color="auto" w:fill="FFFFFF"/>
        <w:spacing w:after="0" w:line="240" w:lineRule="auto"/>
        <w:jc w:val="both"/>
        <w:rPr>
          <w:rFonts w:asciiTheme="minorHAnsi" w:hAnsiTheme="minorHAnsi" w:cstheme="minorHAnsi"/>
          <w:b/>
          <w:bCs/>
          <w:sz w:val="20"/>
          <w:szCs w:val="20"/>
          <w:lang w:eastAsia="it-IT"/>
        </w:rPr>
      </w:pPr>
    </w:p>
    <w:p w14:paraId="65EDB037" w14:textId="77777777" w:rsidR="00BD6EF4" w:rsidRDefault="00BD6EF4" w:rsidP="00BD6EF4">
      <w:pPr>
        <w:shd w:val="clear" w:color="auto" w:fill="FFFFFF"/>
        <w:spacing w:after="0" w:line="240" w:lineRule="auto"/>
        <w:jc w:val="both"/>
        <w:rPr>
          <w:rFonts w:asciiTheme="minorHAnsi" w:hAnsiTheme="minorHAnsi" w:cstheme="minorHAnsi"/>
          <w:b/>
          <w:bCs/>
          <w:sz w:val="20"/>
          <w:szCs w:val="20"/>
          <w:lang w:eastAsia="it-IT"/>
        </w:rPr>
      </w:pPr>
    </w:p>
    <w:p w14:paraId="681EFA51" w14:textId="77777777" w:rsidR="00BD6EF4" w:rsidRDefault="00BD6EF4" w:rsidP="00BD6EF4">
      <w:pPr>
        <w:shd w:val="clear" w:color="auto" w:fill="FFFFFF"/>
        <w:spacing w:after="0" w:line="240" w:lineRule="auto"/>
        <w:jc w:val="both"/>
        <w:rPr>
          <w:rFonts w:asciiTheme="minorHAnsi" w:hAnsiTheme="minorHAnsi" w:cstheme="minorHAnsi"/>
          <w:b/>
          <w:bCs/>
          <w:sz w:val="20"/>
          <w:szCs w:val="20"/>
          <w:lang w:eastAsia="it-IT"/>
        </w:rPr>
      </w:pPr>
    </w:p>
    <w:p w14:paraId="359D4125" w14:textId="77777777" w:rsidR="00BD6EF4" w:rsidRDefault="00BD6EF4" w:rsidP="00BD6EF4">
      <w:pPr>
        <w:shd w:val="clear" w:color="auto" w:fill="FFFFFF"/>
        <w:spacing w:after="0" w:line="240" w:lineRule="auto"/>
        <w:jc w:val="both"/>
        <w:rPr>
          <w:rFonts w:asciiTheme="minorHAnsi" w:hAnsiTheme="minorHAnsi" w:cstheme="minorHAnsi"/>
          <w:b/>
          <w:bCs/>
          <w:sz w:val="20"/>
          <w:szCs w:val="20"/>
          <w:lang w:eastAsia="it-IT"/>
        </w:rPr>
      </w:pPr>
    </w:p>
    <w:p w14:paraId="1255C4DE" w14:textId="2C1B7D28" w:rsidR="00A14736" w:rsidRPr="00C4326A" w:rsidRDefault="00AD0ED0" w:rsidP="00BD6EF4">
      <w:pPr>
        <w:shd w:val="clear" w:color="auto" w:fill="FFFFFF"/>
        <w:spacing w:after="0" w:line="240" w:lineRule="auto"/>
        <w:jc w:val="both"/>
        <w:rPr>
          <w:rFonts w:asciiTheme="minorHAnsi" w:hAnsiTheme="minorHAnsi" w:cstheme="minorHAnsi"/>
          <w:b/>
          <w:bCs/>
          <w:sz w:val="20"/>
          <w:szCs w:val="20"/>
          <w:lang w:eastAsia="it-IT"/>
        </w:rPr>
      </w:pPr>
      <w:r w:rsidRPr="00C4326A">
        <w:rPr>
          <w:rFonts w:asciiTheme="minorHAnsi" w:hAnsiTheme="minorHAnsi" w:cstheme="minorHAnsi"/>
          <w:b/>
          <w:bCs/>
          <w:sz w:val="20"/>
          <w:szCs w:val="20"/>
          <w:lang w:eastAsia="it-IT"/>
        </w:rPr>
        <w:t>PRETE: “</w:t>
      </w:r>
      <w:r>
        <w:rPr>
          <w:rFonts w:asciiTheme="minorHAnsi" w:hAnsiTheme="minorHAnsi" w:cstheme="minorHAnsi"/>
          <w:b/>
          <w:bCs/>
          <w:sz w:val="20"/>
          <w:szCs w:val="20"/>
          <w:lang w:eastAsia="it-IT"/>
        </w:rPr>
        <w:t>GREENITALY, CON I SUOI NUMERI E LE SUE STORIE D’IMPRESA PONE IN CHIARA EVIDENZA L’IMPEGNO DEL SISTEMA PRODUTTIVO ITALIANO NELLA TRANSIZIONE VERDE. GRAZIE A UN TREND DI INVESTIMENTI AZIENDALI NELLA DIREZIONE DELLA SOSTENIBILITÀ AMBIENTALE CHE NON SI È ARRESTATO NEANCHE NEI PERIODI DI MAGGIORI DIFFICOLTÀ - COME QUELLI LEGATI ALLA CRISI PANDEMICA E AI CONFLITTI MONDIALI - DA ANNI SIAMO INFATTI TRA I PAESI ECO LEADER IN EUROPA. NON SEMPRE PERÒ LE NOSTRE IMPRESE SONO MESSE NELLE CONDIZIONI DI OPERARE AL LORO MEGLIO.  È IL CASO DEL TEMA DELLE ENERGIE RINNOVABILI, FONDAMENTALI PER UNA RIDUZIONE DELLE IMPORTAZIONI DI ENERGIA DEL NOSTRO PAESE E PER UNA STABILIZZAZIONE DEI PREZZI, LA CUI CRESCITA È SPESSO RALLENTATA DA OSTACOLI BUROCRATICI: NEL 2022 È STATA INSTALLATA UNA POTENZA DA FONTI RINNOVABILI PARI A 3 GW, CONTRO GLI 11 DELLA GERMANIA E I 6 DELLA SPAGNA, UN DATO LONTANO DAL TARGET DI CIRCA 8-9 GW ALL’ANNO DA INSTALLARE ENTRO IL 2030”.</w:t>
      </w:r>
    </w:p>
    <w:p w14:paraId="7F6E30FE" w14:textId="77777777" w:rsidR="00A14736" w:rsidRDefault="00A14736" w:rsidP="00A14736">
      <w:pPr>
        <w:spacing w:after="0" w:line="240" w:lineRule="auto"/>
        <w:jc w:val="center"/>
        <w:rPr>
          <w:rFonts w:asciiTheme="minorHAnsi" w:hAnsiTheme="minorHAnsi" w:cstheme="minorHAnsi"/>
          <w:b/>
          <w:bCs/>
          <w:sz w:val="18"/>
          <w:szCs w:val="18"/>
          <w:lang w:eastAsia="it-IT"/>
        </w:rPr>
      </w:pPr>
    </w:p>
    <w:p w14:paraId="4B1141B3" w14:textId="77777777" w:rsidR="00BD6EF4" w:rsidRDefault="00BD6EF4" w:rsidP="008B2C87">
      <w:pPr>
        <w:shd w:val="clear" w:color="auto" w:fill="FFFFFF"/>
        <w:spacing w:after="0" w:line="240" w:lineRule="auto"/>
        <w:jc w:val="both"/>
        <w:rPr>
          <w:b/>
          <w:bCs/>
          <w:sz w:val="24"/>
          <w:szCs w:val="24"/>
        </w:rPr>
      </w:pPr>
    </w:p>
    <w:p w14:paraId="06FC4E98" w14:textId="77777777" w:rsidR="00BD6EF4" w:rsidRDefault="00BD6EF4" w:rsidP="008B2C87">
      <w:pPr>
        <w:shd w:val="clear" w:color="auto" w:fill="FFFFFF"/>
        <w:spacing w:after="0" w:line="240" w:lineRule="auto"/>
        <w:jc w:val="both"/>
        <w:rPr>
          <w:b/>
          <w:bCs/>
          <w:sz w:val="24"/>
          <w:szCs w:val="24"/>
        </w:rPr>
      </w:pPr>
    </w:p>
    <w:p w14:paraId="2ED04E99" w14:textId="77777777" w:rsidR="00BD6EF4" w:rsidRDefault="00BD6EF4" w:rsidP="008B2C87">
      <w:pPr>
        <w:shd w:val="clear" w:color="auto" w:fill="FFFFFF"/>
        <w:spacing w:after="0" w:line="240" w:lineRule="auto"/>
        <w:jc w:val="both"/>
        <w:rPr>
          <w:b/>
          <w:bCs/>
          <w:sz w:val="24"/>
          <w:szCs w:val="24"/>
        </w:rPr>
      </w:pPr>
    </w:p>
    <w:p w14:paraId="7F34BEAB" w14:textId="77777777" w:rsidR="00BD6EF4" w:rsidRDefault="00BD6EF4" w:rsidP="008B2C87">
      <w:pPr>
        <w:shd w:val="clear" w:color="auto" w:fill="FFFFFF"/>
        <w:spacing w:after="0" w:line="240" w:lineRule="auto"/>
        <w:jc w:val="both"/>
        <w:rPr>
          <w:b/>
          <w:bCs/>
          <w:sz w:val="24"/>
          <w:szCs w:val="24"/>
        </w:rPr>
      </w:pPr>
    </w:p>
    <w:p w14:paraId="45825C0E" w14:textId="77777777" w:rsidR="00BD6EF4" w:rsidRDefault="00BD6EF4" w:rsidP="008B2C87">
      <w:pPr>
        <w:shd w:val="clear" w:color="auto" w:fill="FFFFFF"/>
        <w:spacing w:after="0" w:line="240" w:lineRule="auto"/>
        <w:jc w:val="both"/>
        <w:rPr>
          <w:b/>
          <w:bCs/>
          <w:sz w:val="24"/>
          <w:szCs w:val="24"/>
        </w:rPr>
      </w:pPr>
    </w:p>
    <w:p w14:paraId="1E5A4A0E" w14:textId="77777777" w:rsidR="00BD6EF4" w:rsidRDefault="00BD6EF4" w:rsidP="008B2C87">
      <w:pPr>
        <w:shd w:val="clear" w:color="auto" w:fill="FFFFFF"/>
        <w:spacing w:after="0" w:line="240" w:lineRule="auto"/>
        <w:jc w:val="both"/>
        <w:rPr>
          <w:b/>
          <w:bCs/>
          <w:sz w:val="24"/>
          <w:szCs w:val="24"/>
        </w:rPr>
      </w:pPr>
    </w:p>
    <w:p w14:paraId="3845A572" w14:textId="3B739891" w:rsidR="00FE5863" w:rsidRDefault="006E28EF" w:rsidP="008B2C87">
      <w:pPr>
        <w:shd w:val="clear" w:color="auto" w:fill="FFFFFF"/>
        <w:spacing w:after="0" w:line="240" w:lineRule="auto"/>
        <w:jc w:val="both"/>
        <w:rPr>
          <w:rFonts w:asciiTheme="minorHAnsi" w:hAnsiTheme="minorHAnsi" w:cstheme="minorHAnsi"/>
          <w:b/>
          <w:bCs/>
          <w:sz w:val="24"/>
          <w:szCs w:val="24"/>
          <w:lang w:eastAsia="it-IT"/>
        </w:rPr>
      </w:pPr>
      <w:r w:rsidRPr="00A0127F">
        <w:rPr>
          <w:b/>
          <w:bCs/>
          <w:sz w:val="24"/>
          <w:szCs w:val="24"/>
        </w:rPr>
        <w:lastRenderedPageBreak/>
        <w:t xml:space="preserve">Roma, 31 ottobre 2023. </w:t>
      </w:r>
      <w:r w:rsidR="00342AC5" w:rsidRPr="00A0127F">
        <w:rPr>
          <w:rFonts w:asciiTheme="minorHAnsi" w:hAnsiTheme="minorHAnsi" w:cstheme="minorHAnsi"/>
          <w:sz w:val="24"/>
          <w:szCs w:val="24"/>
          <w:lang w:eastAsia="it-IT"/>
        </w:rPr>
        <w:t>Il</w:t>
      </w:r>
      <w:r w:rsidRPr="00A0127F">
        <w:rPr>
          <w:rFonts w:asciiTheme="minorHAnsi" w:hAnsiTheme="minorHAnsi" w:cstheme="minorHAnsi"/>
          <w:sz w:val="24"/>
          <w:szCs w:val="24"/>
          <w:lang w:eastAsia="it-IT"/>
        </w:rPr>
        <w:t xml:space="preserve"> Rapporto GreenItaly, arrivato alla </w:t>
      </w:r>
      <w:r w:rsidR="00A63611" w:rsidRPr="00A0127F">
        <w:rPr>
          <w:rFonts w:asciiTheme="minorHAnsi" w:hAnsiTheme="minorHAnsi" w:cstheme="minorHAnsi"/>
          <w:sz w:val="24"/>
          <w:szCs w:val="24"/>
          <w:lang w:eastAsia="it-IT"/>
        </w:rPr>
        <w:t>quattordicesima</w:t>
      </w:r>
      <w:r w:rsidRPr="00A0127F">
        <w:rPr>
          <w:rFonts w:asciiTheme="minorHAnsi" w:hAnsiTheme="minorHAnsi" w:cstheme="minorHAnsi"/>
          <w:sz w:val="24"/>
          <w:szCs w:val="24"/>
          <w:lang w:eastAsia="it-IT"/>
        </w:rPr>
        <w:t xml:space="preserve"> edizione, </w:t>
      </w:r>
      <w:r w:rsidR="001B3070" w:rsidRPr="00A0127F">
        <w:rPr>
          <w:rFonts w:asciiTheme="minorHAnsi" w:hAnsiTheme="minorHAnsi" w:cstheme="minorHAnsi"/>
          <w:sz w:val="24"/>
          <w:szCs w:val="24"/>
          <w:lang w:eastAsia="it-IT"/>
        </w:rPr>
        <w:t xml:space="preserve">è </w:t>
      </w:r>
      <w:r w:rsidRPr="00A0127F">
        <w:rPr>
          <w:rFonts w:asciiTheme="minorHAnsi" w:hAnsiTheme="minorHAnsi" w:cstheme="minorHAnsi"/>
          <w:sz w:val="24"/>
          <w:szCs w:val="24"/>
          <w:lang w:eastAsia="it-IT"/>
        </w:rPr>
        <w:t>realizzato dalla Fondazione Symbola e da Unioncamere, con la collaborazione del Centro Studi Tagliacarne</w:t>
      </w:r>
      <w:r w:rsidR="009A2C94" w:rsidRPr="00A0127F">
        <w:rPr>
          <w:rFonts w:asciiTheme="minorHAnsi" w:hAnsiTheme="minorHAnsi" w:cstheme="minorHAnsi"/>
          <w:sz w:val="24"/>
          <w:szCs w:val="24"/>
          <w:lang w:eastAsia="it-IT"/>
        </w:rPr>
        <w:t xml:space="preserve"> </w:t>
      </w:r>
      <w:r w:rsidR="00642909" w:rsidRPr="00A0127F">
        <w:rPr>
          <w:rFonts w:asciiTheme="minorHAnsi" w:hAnsiTheme="minorHAnsi" w:cstheme="minorHAnsi"/>
          <w:sz w:val="24"/>
          <w:szCs w:val="24"/>
          <w:lang w:eastAsia="it-IT"/>
        </w:rPr>
        <w:t xml:space="preserve">e </w:t>
      </w:r>
      <w:r w:rsidR="009A2C94" w:rsidRPr="00A0127F">
        <w:rPr>
          <w:rFonts w:asciiTheme="minorHAnsi" w:hAnsiTheme="minorHAnsi" w:cstheme="minorHAnsi"/>
          <w:sz w:val="24"/>
          <w:szCs w:val="24"/>
          <w:lang w:eastAsia="it-IT"/>
        </w:rPr>
        <w:t>con il patrocinio del Ministero dell’Ambiente e della Sicurezza Energetica</w:t>
      </w:r>
      <w:r w:rsidRPr="00A0127F">
        <w:rPr>
          <w:rFonts w:asciiTheme="minorHAnsi" w:hAnsiTheme="minorHAnsi" w:cstheme="minorHAnsi"/>
          <w:sz w:val="24"/>
          <w:szCs w:val="24"/>
          <w:lang w:eastAsia="it-IT"/>
        </w:rPr>
        <w:t>. Al rapporto hanno collaborato Conai, Novamont, Ecopneus</w:t>
      </w:r>
      <w:r w:rsidR="009A2C94" w:rsidRPr="00A0127F">
        <w:rPr>
          <w:rFonts w:asciiTheme="minorHAnsi" w:hAnsiTheme="minorHAnsi" w:cstheme="minorHAnsi"/>
          <w:sz w:val="24"/>
          <w:szCs w:val="24"/>
          <w:lang w:eastAsia="it-IT"/>
        </w:rPr>
        <w:t>, European Climate Foundation,</w:t>
      </w:r>
      <w:r w:rsidR="00642909" w:rsidRPr="00A0127F">
        <w:rPr>
          <w:rFonts w:asciiTheme="minorHAnsi" w:hAnsiTheme="minorHAnsi" w:cstheme="minorHAnsi"/>
          <w:sz w:val="24"/>
          <w:szCs w:val="24"/>
          <w:lang w:eastAsia="it-IT"/>
        </w:rPr>
        <w:t xml:space="preserve"> </w:t>
      </w:r>
      <w:r w:rsidRPr="00A0127F">
        <w:rPr>
          <w:rFonts w:asciiTheme="minorHAnsi" w:hAnsiTheme="minorHAnsi" w:cstheme="minorHAnsi"/>
          <w:sz w:val="24"/>
          <w:szCs w:val="24"/>
          <w:lang w:eastAsia="it-IT"/>
        </w:rPr>
        <w:t>molte organizzazioni e oltre 40 esperti.</w:t>
      </w:r>
      <w:r w:rsidR="00A0127F" w:rsidRPr="00A0127F">
        <w:rPr>
          <w:rFonts w:asciiTheme="minorHAnsi" w:hAnsiTheme="minorHAnsi" w:cstheme="minorHAnsi"/>
          <w:sz w:val="24"/>
          <w:szCs w:val="24"/>
          <w:lang w:eastAsia="it-IT"/>
        </w:rPr>
        <w:t xml:space="preserve"> </w:t>
      </w:r>
      <w:r w:rsidR="00A0127F" w:rsidRPr="00A0127F">
        <w:rPr>
          <w:rFonts w:asciiTheme="minorHAnsi" w:hAnsiTheme="minorHAnsi" w:cstheme="minorHAnsi"/>
          <w:b/>
          <w:bCs/>
          <w:sz w:val="24"/>
          <w:szCs w:val="24"/>
          <w:lang w:eastAsia="it-IT"/>
        </w:rPr>
        <w:t>È</w:t>
      </w:r>
      <w:r w:rsidR="00A0127F" w:rsidRPr="00A0127F">
        <w:rPr>
          <w:rFonts w:asciiTheme="minorHAnsi" w:hAnsiTheme="minorHAnsi" w:cstheme="minorHAnsi"/>
          <w:sz w:val="24"/>
          <w:szCs w:val="24"/>
          <w:lang w:eastAsia="it-IT"/>
        </w:rPr>
        <w:t xml:space="preserve"> </w:t>
      </w:r>
      <w:r w:rsidRPr="00A0127F">
        <w:rPr>
          <w:rFonts w:asciiTheme="minorHAnsi" w:hAnsiTheme="minorHAnsi" w:cstheme="minorHAnsi"/>
          <w:b/>
          <w:bCs/>
          <w:sz w:val="24"/>
          <w:szCs w:val="24"/>
          <w:lang w:eastAsia="it-IT"/>
        </w:rPr>
        <w:t xml:space="preserve">stato presentato </w:t>
      </w:r>
      <w:r w:rsidR="00A0127F" w:rsidRPr="00A0127F">
        <w:rPr>
          <w:rFonts w:asciiTheme="minorHAnsi" w:hAnsiTheme="minorHAnsi" w:cstheme="minorHAnsi"/>
          <w:b/>
          <w:bCs/>
          <w:sz w:val="24"/>
          <w:szCs w:val="24"/>
          <w:lang w:eastAsia="it-IT"/>
        </w:rPr>
        <w:t xml:space="preserve">oggi </w:t>
      </w:r>
      <w:r w:rsidRPr="00A0127F">
        <w:rPr>
          <w:rFonts w:asciiTheme="minorHAnsi" w:hAnsiTheme="minorHAnsi" w:cstheme="minorHAnsi"/>
          <w:b/>
          <w:bCs/>
          <w:sz w:val="24"/>
          <w:szCs w:val="24"/>
          <w:lang w:eastAsia="it-IT"/>
        </w:rPr>
        <w:t>da Ermete Realacci, presidente della Fondazione Symbola; Andrea Prete, presidente Unioncamere;</w:t>
      </w:r>
      <w:r w:rsidR="00894AC6" w:rsidRPr="00A0127F">
        <w:rPr>
          <w:rFonts w:asciiTheme="minorHAnsi" w:hAnsiTheme="minorHAnsi" w:cstheme="minorHAnsi"/>
          <w:b/>
          <w:bCs/>
          <w:sz w:val="24"/>
          <w:szCs w:val="24"/>
          <w:lang w:eastAsia="it-IT"/>
        </w:rPr>
        <w:t xml:space="preserve"> Gilberto Pichetto Fratin, ministro dell’Ambiente e della Sicurezza Energetica;</w:t>
      </w:r>
      <w:r w:rsidRPr="00A0127F">
        <w:rPr>
          <w:rFonts w:asciiTheme="minorHAnsi" w:hAnsiTheme="minorHAnsi" w:cstheme="minorHAnsi"/>
          <w:b/>
          <w:bCs/>
          <w:sz w:val="24"/>
          <w:szCs w:val="24"/>
          <w:lang w:eastAsia="it-IT"/>
        </w:rPr>
        <w:t xml:space="preserve"> </w:t>
      </w:r>
      <w:r w:rsidR="00B73727">
        <w:rPr>
          <w:rFonts w:asciiTheme="minorHAnsi" w:hAnsiTheme="minorHAnsi" w:cstheme="minorHAnsi"/>
          <w:b/>
          <w:bCs/>
          <w:sz w:val="24"/>
          <w:szCs w:val="24"/>
          <w:lang w:eastAsia="it-IT"/>
        </w:rPr>
        <w:t>Alessandro Rinaldi, direttore studi e ricerche del Centro Studi delle Camere di Commercio Guglielmo Tagliacarne</w:t>
      </w:r>
      <w:r w:rsidR="00097CC2">
        <w:rPr>
          <w:rFonts w:asciiTheme="minorHAnsi" w:hAnsiTheme="minorHAnsi" w:cstheme="minorHAnsi"/>
          <w:b/>
          <w:bCs/>
          <w:sz w:val="24"/>
          <w:szCs w:val="24"/>
          <w:lang w:eastAsia="it-IT"/>
        </w:rPr>
        <w:t xml:space="preserve">. </w:t>
      </w:r>
      <w:r w:rsidR="00894AC6" w:rsidRPr="00A0127F">
        <w:rPr>
          <w:rFonts w:asciiTheme="minorHAnsi" w:hAnsiTheme="minorHAnsi" w:cstheme="minorHAnsi"/>
          <w:b/>
          <w:bCs/>
          <w:sz w:val="24"/>
          <w:szCs w:val="24"/>
          <w:lang w:eastAsia="it-IT"/>
        </w:rPr>
        <w:t xml:space="preserve">Sono intervenuti Catia Bastioli, </w:t>
      </w:r>
      <w:r w:rsidR="00050886">
        <w:rPr>
          <w:rFonts w:asciiTheme="minorHAnsi" w:hAnsiTheme="minorHAnsi" w:cstheme="minorHAnsi"/>
          <w:b/>
          <w:bCs/>
          <w:sz w:val="24"/>
          <w:szCs w:val="24"/>
          <w:lang w:eastAsia="it-IT"/>
        </w:rPr>
        <w:t>a</w:t>
      </w:r>
      <w:r w:rsidR="00894AC6" w:rsidRPr="00A0127F">
        <w:rPr>
          <w:rFonts w:asciiTheme="minorHAnsi" w:hAnsiTheme="minorHAnsi" w:cstheme="minorHAnsi"/>
          <w:b/>
          <w:bCs/>
          <w:sz w:val="24"/>
          <w:szCs w:val="24"/>
          <w:lang w:eastAsia="it-IT"/>
        </w:rPr>
        <w:t xml:space="preserve">mministratore delegato Novamont; Silvia Bodoardo, professore ordinario Politecnico di Torino; </w:t>
      </w:r>
      <w:r w:rsidR="0085120F" w:rsidRPr="0085120F">
        <w:rPr>
          <w:rFonts w:asciiTheme="minorHAnsi" w:hAnsiTheme="minorHAnsi" w:cstheme="minorHAnsi"/>
          <w:b/>
          <w:bCs/>
          <w:sz w:val="24"/>
          <w:szCs w:val="24"/>
          <w:lang w:eastAsia="it-IT"/>
        </w:rPr>
        <w:t>Simona Fontana</w:t>
      </w:r>
      <w:r w:rsidR="00D375D3">
        <w:rPr>
          <w:rFonts w:asciiTheme="minorHAnsi" w:hAnsiTheme="minorHAnsi" w:cstheme="minorHAnsi"/>
          <w:b/>
          <w:bCs/>
          <w:sz w:val="24"/>
          <w:szCs w:val="24"/>
          <w:lang w:eastAsia="it-IT"/>
        </w:rPr>
        <w:t>,</w:t>
      </w:r>
      <w:r w:rsidR="0085120F" w:rsidRPr="0085120F">
        <w:rPr>
          <w:rFonts w:asciiTheme="minorHAnsi" w:hAnsiTheme="minorHAnsi" w:cstheme="minorHAnsi"/>
          <w:b/>
          <w:bCs/>
          <w:sz w:val="24"/>
          <w:szCs w:val="24"/>
          <w:lang w:eastAsia="it-IT"/>
        </w:rPr>
        <w:t xml:space="preserve"> </w:t>
      </w:r>
      <w:r w:rsidR="00050886">
        <w:rPr>
          <w:rFonts w:asciiTheme="minorHAnsi" w:hAnsiTheme="minorHAnsi" w:cstheme="minorHAnsi"/>
          <w:b/>
          <w:bCs/>
          <w:sz w:val="24"/>
          <w:szCs w:val="24"/>
          <w:lang w:eastAsia="it-IT"/>
        </w:rPr>
        <w:t>r</w:t>
      </w:r>
      <w:r w:rsidR="0085120F" w:rsidRPr="0085120F">
        <w:rPr>
          <w:rFonts w:asciiTheme="minorHAnsi" w:hAnsiTheme="minorHAnsi" w:cstheme="minorHAnsi"/>
          <w:b/>
          <w:bCs/>
          <w:sz w:val="24"/>
          <w:szCs w:val="24"/>
          <w:lang w:eastAsia="it-IT"/>
        </w:rPr>
        <w:t>esponsabile del Centro studi per Economia Circolare del C</w:t>
      </w:r>
      <w:r w:rsidR="00D375D3">
        <w:rPr>
          <w:rFonts w:asciiTheme="minorHAnsi" w:hAnsiTheme="minorHAnsi" w:cstheme="minorHAnsi"/>
          <w:b/>
          <w:bCs/>
          <w:sz w:val="24"/>
          <w:szCs w:val="24"/>
          <w:lang w:eastAsia="it-IT"/>
        </w:rPr>
        <w:t>ONAI</w:t>
      </w:r>
      <w:r w:rsidR="0085120F">
        <w:rPr>
          <w:rFonts w:asciiTheme="minorHAnsi" w:hAnsiTheme="minorHAnsi" w:cstheme="minorHAnsi"/>
          <w:b/>
          <w:bCs/>
          <w:sz w:val="24"/>
          <w:szCs w:val="24"/>
          <w:lang w:eastAsia="it-IT"/>
        </w:rPr>
        <w:t xml:space="preserve">; </w:t>
      </w:r>
      <w:r w:rsidR="00894AC6" w:rsidRPr="00A0127F">
        <w:rPr>
          <w:rFonts w:asciiTheme="minorHAnsi" w:hAnsiTheme="minorHAnsi" w:cstheme="minorHAnsi"/>
          <w:b/>
          <w:bCs/>
          <w:sz w:val="24"/>
          <w:szCs w:val="24"/>
          <w:lang w:eastAsia="it-IT"/>
        </w:rPr>
        <w:t>Agostino Re Rebaudengo, presidente Elettricità Futura.</w:t>
      </w:r>
    </w:p>
    <w:p w14:paraId="33B41783" w14:textId="77777777" w:rsidR="00FE7533" w:rsidRDefault="00FE7533" w:rsidP="008B2C87">
      <w:pPr>
        <w:shd w:val="clear" w:color="auto" w:fill="FFFFFF"/>
        <w:spacing w:after="0" w:line="240" w:lineRule="auto"/>
        <w:jc w:val="both"/>
        <w:rPr>
          <w:rFonts w:asciiTheme="minorHAnsi" w:hAnsiTheme="minorHAnsi" w:cstheme="minorHAnsi"/>
          <w:sz w:val="24"/>
          <w:szCs w:val="24"/>
        </w:rPr>
      </w:pPr>
    </w:p>
    <w:p w14:paraId="54C31E41" w14:textId="77777777" w:rsidR="00FE7533" w:rsidRDefault="00FE7533" w:rsidP="008B2C87">
      <w:pPr>
        <w:shd w:val="clear" w:color="auto" w:fill="FFFFFF"/>
        <w:spacing w:after="0" w:line="240" w:lineRule="auto"/>
        <w:jc w:val="both"/>
        <w:rPr>
          <w:rFonts w:asciiTheme="minorHAnsi" w:hAnsiTheme="minorHAnsi" w:cstheme="minorHAnsi"/>
          <w:sz w:val="24"/>
          <w:szCs w:val="24"/>
        </w:rPr>
      </w:pPr>
    </w:p>
    <w:p w14:paraId="129F1FE7" w14:textId="07325E4C" w:rsidR="005E3D75" w:rsidRPr="00FE5863" w:rsidRDefault="00FE5863" w:rsidP="008B2C87">
      <w:pPr>
        <w:shd w:val="clear" w:color="auto" w:fill="FFFFFF"/>
        <w:spacing w:after="0" w:line="240" w:lineRule="auto"/>
        <w:jc w:val="both"/>
        <w:rPr>
          <w:rFonts w:asciiTheme="minorHAnsi" w:hAnsiTheme="minorHAnsi" w:cstheme="minorHAnsi"/>
          <w:b/>
          <w:bCs/>
          <w:sz w:val="24"/>
          <w:szCs w:val="24"/>
          <w:lang w:eastAsia="it-IT"/>
        </w:rPr>
      </w:pPr>
      <w:r>
        <w:rPr>
          <w:rFonts w:asciiTheme="minorHAnsi" w:hAnsiTheme="minorHAnsi" w:cstheme="minorHAnsi"/>
          <w:sz w:val="24"/>
          <w:szCs w:val="24"/>
        </w:rPr>
        <w:t>“</w:t>
      </w:r>
      <w:r w:rsidRPr="00FE5863">
        <w:rPr>
          <w:rFonts w:asciiTheme="minorHAnsi" w:hAnsiTheme="minorHAnsi" w:cstheme="minorHAnsi"/>
          <w:sz w:val="24"/>
          <w:szCs w:val="24"/>
        </w:rPr>
        <w:t>Sul tentativo di negare o sminuire la portata della crisi climatica, Papa Francesco, con l’esortazione apostolica Laudate Deum, ha detto parole chiare in vista della COP28 di Dubai. Una crisi</w:t>
      </w:r>
      <w:r>
        <w:rPr>
          <w:rFonts w:asciiTheme="minorHAnsi" w:hAnsiTheme="minorHAnsi" w:cstheme="minorHAnsi"/>
          <w:sz w:val="24"/>
          <w:szCs w:val="24"/>
        </w:rPr>
        <w:t xml:space="preserve"> - </w:t>
      </w:r>
      <w:r w:rsidRPr="00B821EB">
        <w:rPr>
          <w:rFonts w:asciiTheme="minorHAnsi" w:hAnsiTheme="minorHAnsi" w:cstheme="minorHAnsi"/>
          <w:sz w:val="24"/>
          <w:szCs w:val="24"/>
        </w:rPr>
        <w:t xml:space="preserve">dichiara </w:t>
      </w:r>
      <w:r w:rsidRPr="003D659B">
        <w:rPr>
          <w:rFonts w:asciiTheme="minorHAnsi" w:hAnsiTheme="minorHAnsi" w:cstheme="minorHAnsi"/>
          <w:b/>
          <w:bCs/>
          <w:sz w:val="24"/>
          <w:szCs w:val="24"/>
        </w:rPr>
        <w:t>Ermete Realacci, presidente della Fondazione Symbola</w:t>
      </w:r>
      <w:r w:rsidRPr="0006787D">
        <w:rPr>
          <w:rFonts w:asciiTheme="minorHAnsi" w:hAnsiTheme="minorHAnsi" w:cstheme="minorHAnsi"/>
          <w:sz w:val="24"/>
          <w:szCs w:val="24"/>
        </w:rPr>
        <w:t xml:space="preserve"> -</w:t>
      </w:r>
      <w:r w:rsidR="00FB2A2B">
        <w:rPr>
          <w:rFonts w:asciiTheme="minorHAnsi" w:hAnsiTheme="minorHAnsi" w:cstheme="minorHAnsi"/>
          <w:sz w:val="24"/>
          <w:szCs w:val="24"/>
        </w:rPr>
        <w:t xml:space="preserve"> </w:t>
      </w:r>
      <w:r w:rsidRPr="00FE5863">
        <w:rPr>
          <w:rFonts w:asciiTheme="minorHAnsi" w:hAnsiTheme="minorHAnsi" w:cstheme="minorHAnsi"/>
          <w:sz w:val="24"/>
          <w:szCs w:val="24"/>
        </w:rPr>
        <w:t>legata a doppio filo a dinamiche ambientali, economiche, sociali. Non possiamo permetterci le incertezze con cui procede l’attuazione dell’Agenda 2030. Anche in alcune politiche del nostro Paese. Pensiamo al ritardo sulle energie rinnovabili</w:t>
      </w:r>
      <w:r w:rsidR="00A548F2">
        <w:rPr>
          <w:rFonts w:asciiTheme="minorHAnsi" w:hAnsiTheme="minorHAnsi" w:cstheme="minorHAnsi"/>
          <w:sz w:val="24"/>
          <w:szCs w:val="24"/>
        </w:rPr>
        <w:t>.</w:t>
      </w:r>
      <w:r w:rsidR="00C036F9">
        <w:rPr>
          <w:rFonts w:asciiTheme="minorHAnsi" w:hAnsiTheme="minorHAnsi" w:cstheme="minorHAnsi"/>
          <w:sz w:val="24"/>
          <w:szCs w:val="24"/>
        </w:rPr>
        <w:t xml:space="preserve"> Sono 510 mila le imprese italiane che negli ultimi cinque anni hanno investito sulla green economy</w:t>
      </w:r>
      <w:r w:rsidR="00B34009">
        <w:rPr>
          <w:rFonts w:asciiTheme="minorHAnsi" w:hAnsiTheme="minorHAnsi" w:cstheme="minorHAnsi"/>
          <w:sz w:val="24"/>
          <w:szCs w:val="24"/>
        </w:rPr>
        <w:t xml:space="preserve"> e sono 3,2 milioni i greenjobs</w:t>
      </w:r>
      <w:r w:rsidR="00C036F9">
        <w:rPr>
          <w:rFonts w:asciiTheme="minorHAnsi" w:hAnsiTheme="minorHAnsi" w:cstheme="minorHAnsi"/>
          <w:sz w:val="24"/>
          <w:szCs w:val="24"/>
        </w:rPr>
        <w:t xml:space="preserve">. </w:t>
      </w:r>
      <w:r w:rsidR="002C6842">
        <w:rPr>
          <w:rFonts w:asciiTheme="minorHAnsi" w:hAnsiTheme="minorHAnsi" w:cstheme="minorHAnsi"/>
          <w:sz w:val="24"/>
          <w:szCs w:val="24"/>
        </w:rPr>
        <w:t>A</w:t>
      </w:r>
      <w:r w:rsidRPr="00FE5863">
        <w:rPr>
          <w:rFonts w:asciiTheme="minorHAnsi" w:hAnsiTheme="minorHAnsi" w:cstheme="minorHAnsi"/>
          <w:sz w:val="24"/>
          <w:szCs w:val="24"/>
        </w:rPr>
        <w:t>ccelerare gli investimenti nella transizione verde e nelle energie rinnovabili</w:t>
      </w:r>
      <w:r w:rsidR="00A548F2">
        <w:rPr>
          <w:rFonts w:asciiTheme="minorHAnsi" w:hAnsiTheme="minorHAnsi" w:cstheme="minorHAnsi"/>
          <w:sz w:val="24"/>
          <w:szCs w:val="24"/>
        </w:rPr>
        <w:t xml:space="preserve"> aumenta </w:t>
      </w:r>
      <w:r w:rsidRPr="00FE5863">
        <w:rPr>
          <w:rFonts w:asciiTheme="minorHAnsi" w:hAnsiTheme="minorHAnsi" w:cstheme="minorHAnsi"/>
          <w:sz w:val="24"/>
          <w:szCs w:val="24"/>
        </w:rPr>
        <w:t xml:space="preserve">la stabilità finanziaria </w:t>
      </w:r>
      <w:r w:rsidR="00A548F2">
        <w:rPr>
          <w:rFonts w:asciiTheme="minorHAnsi" w:hAnsiTheme="minorHAnsi" w:cstheme="minorHAnsi"/>
          <w:sz w:val="24"/>
          <w:szCs w:val="24"/>
        </w:rPr>
        <w:t>come dimostrano gli studi della BCE e</w:t>
      </w:r>
      <w:r w:rsidR="00E7601A">
        <w:rPr>
          <w:rFonts w:asciiTheme="minorHAnsi" w:hAnsiTheme="minorHAnsi" w:cstheme="minorHAnsi"/>
          <w:sz w:val="24"/>
          <w:szCs w:val="24"/>
        </w:rPr>
        <w:t xml:space="preserve"> della</w:t>
      </w:r>
      <w:r w:rsidR="00A548F2">
        <w:rPr>
          <w:rFonts w:asciiTheme="minorHAnsi" w:hAnsiTheme="minorHAnsi" w:cstheme="minorHAnsi"/>
          <w:sz w:val="24"/>
          <w:szCs w:val="24"/>
        </w:rPr>
        <w:t xml:space="preserve"> Banca D’Italia</w:t>
      </w:r>
      <w:r w:rsidRPr="00FE5863">
        <w:rPr>
          <w:rFonts w:asciiTheme="minorHAnsi" w:hAnsiTheme="minorHAnsi" w:cstheme="minorHAnsi"/>
          <w:sz w:val="24"/>
          <w:szCs w:val="24"/>
        </w:rPr>
        <w:t>,</w:t>
      </w:r>
      <w:r w:rsidR="00EA58AB">
        <w:rPr>
          <w:rFonts w:asciiTheme="minorHAnsi" w:hAnsiTheme="minorHAnsi" w:cstheme="minorHAnsi"/>
          <w:sz w:val="24"/>
          <w:szCs w:val="24"/>
        </w:rPr>
        <w:t xml:space="preserve"> dà forza al made in Italy,</w:t>
      </w:r>
      <w:r w:rsidRPr="00FE5863">
        <w:rPr>
          <w:rFonts w:asciiTheme="minorHAnsi" w:hAnsiTheme="minorHAnsi" w:cstheme="minorHAnsi"/>
          <w:sz w:val="24"/>
          <w:szCs w:val="24"/>
        </w:rPr>
        <w:t xml:space="preserve"> </w:t>
      </w:r>
      <w:r w:rsidR="00A548F2">
        <w:rPr>
          <w:rFonts w:asciiTheme="minorHAnsi" w:hAnsiTheme="minorHAnsi" w:cstheme="minorHAnsi"/>
          <w:sz w:val="24"/>
          <w:szCs w:val="24"/>
        </w:rPr>
        <w:t xml:space="preserve">riduce </w:t>
      </w:r>
      <w:r w:rsidRPr="00FE5863">
        <w:rPr>
          <w:rFonts w:asciiTheme="minorHAnsi" w:hAnsiTheme="minorHAnsi" w:cstheme="minorHAnsi"/>
          <w:sz w:val="24"/>
          <w:szCs w:val="24"/>
        </w:rPr>
        <w:t>i costi a medio termine per famiglie</w:t>
      </w:r>
      <w:r w:rsidR="00E7601A">
        <w:rPr>
          <w:rFonts w:asciiTheme="minorHAnsi" w:hAnsiTheme="minorHAnsi" w:cstheme="minorHAnsi"/>
          <w:sz w:val="24"/>
          <w:szCs w:val="24"/>
        </w:rPr>
        <w:t xml:space="preserve"> e</w:t>
      </w:r>
      <w:r w:rsidR="00A548F2">
        <w:rPr>
          <w:rFonts w:asciiTheme="minorHAnsi" w:hAnsiTheme="minorHAnsi" w:cstheme="minorHAnsi"/>
          <w:sz w:val="24"/>
          <w:szCs w:val="24"/>
        </w:rPr>
        <w:t xml:space="preserve"> imprese</w:t>
      </w:r>
      <w:r w:rsidR="00E7601A">
        <w:rPr>
          <w:rFonts w:asciiTheme="minorHAnsi" w:hAnsiTheme="minorHAnsi" w:cstheme="minorHAnsi"/>
          <w:sz w:val="24"/>
          <w:szCs w:val="24"/>
        </w:rPr>
        <w:t xml:space="preserve">, rafforza la nostra indipendenza energetica. </w:t>
      </w:r>
      <w:r w:rsidR="00C51D5C">
        <w:rPr>
          <w:rFonts w:asciiTheme="minorHAnsi" w:hAnsiTheme="minorHAnsi" w:cstheme="minorHAnsi"/>
          <w:sz w:val="24"/>
          <w:szCs w:val="24"/>
          <w:lang w:eastAsia="it-IT"/>
        </w:rPr>
        <w:t>S</w:t>
      </w:r>
      <w:r w:rsidR="00C51D5C" w:rsidRPr="005E3D75">
        <w:rPr>
          <w:rFonts w:asciiTheme="minorHAnsi" w:hAnsiTheme="minorHAnsi" w:cstheme="minorHAnsi"/>
          <w:sz w:val="24"/>
          <w:szCs w:val="24"/>
          <w:lang w:eastAsia="it-IT"/>
        </w:rPr>
        <w:t>iamo una superpotenza europea dell’economia circolare e questo ci rende più competitivi e capaci di futuro</w:t>
      </w:r>
      <w:r w:rsidR="00C51D5C">
        <w:rPr>
          <w:rFonts w:asciiTheme="minorHAnsi" w:hAnsiTheme="minorHAnsi" w:cstheme="minorHAnsi"/>
          <w:sz w:val="24"/>
          <w:szCs w:val="24"/>
          <w:lang w:eastAsia="it-IT"/>
        </w:rPr>
        <w:t xml:space="preserve">. </w:t>
      </w:r>
      <w:r>
        <w:rPr>
          <w:rFonts w:asciiTheme="minorHAnsi" w:hAnsiTheme="minorHAnsi" w:cstheme="minorHAnsi"/>
          <w:sz w:val="24"/>
          <w:szCs w:val="24"/>
          <w:lang w:eastAsia="it-IT"/>
        </w:rPr>
        <w:t>N</w:t>
      </w:r>
      <w:r w:rsidRPr="005E3D75">
        <w:rPr>
          <w:rFonts w:asciiTheme="minorHAnsi" w:hAnsiTheme="minorHAnsi" w:cstheme="minorHAnsi"/>
          <w:sz w:val="24"/>
          <w:szCs w:val="24"/>
          <w:lang w:eastAsia="it-IT"/>
        </w:rPr>
        <w:t xml:space="preserve">el rapporto </w:t>
      </w:r>
      <w:r>
        <w:rPr>
          <w:rFonts w:asciiTheme="minorHAnsi" w:hAnsiTheme="minorHAnsi" w:cstheme="minorHAnsi"/>
          <w:sz w:val="24"/>
          <w:szCs w:val="24"/>
          <w:lang w:eastAsia="it-IT"/>
        </w:rPr>
        <w:t>G</w:t>
      </w:r>
      <w:r w:rsidRPr="005E3D75">
        <w:rPr>
          <w:rFonts w:asciiTheme="minorHAnsi" w:hAnsiTheme="minorHAnsi" w:cstheme="minorHAnsi"/>
          <w:sz w:val="24"/>
          <w:szCs w:val="24"/>
          <w:lang w:eastAsia="it-IT"/>
        </w:rPr>
        <w:t>reen</w:t>
      </w:r>
      <w:r>
        <w:rPr>
          <w:rFonts w:asciiTheme="minorHAnsi" w:hAnsiTheme="minorHAnsi" w:cstheme="minorHAnsi"/>
          <w:sz w:val="24"/>
          <w:szCs w:val="24"/>
          <w:lang w:eastAsia="it-IT"/>
        </w:rPr>
        <w:t>I</w:t>
      </w:r>
      <w:r w:rsidRPr="005E3D75">
        <w:rPr>
          <w:rFonts w:asciiTheme="minorHAnsi" w:hAnsiTheme="minorHAnsi" w:cstheme="minorHAnsi"/>
          <w:sz w:val="24"/>
          <w:szCs w:val="24"/>
          <w:lang w:eastAsia="it-IT"/>
        </w:rPr>
        <w:t xml:space="preserve">taly si </w:t>
      </w:r>
      <w:r w:rsidR="00361D1A">
        <w:rPr>
          <w:rFonts w:asciiTheme="minorHAnsi" w:hAnsiTheme="minorHAnsi" w:cstheme="minorHAnsi"/>
          <w:sz w:val="24"/>
          <w:szCs w:val="24"/>
          <w:lang w:eastAsia="it-IT"/>
        </w:rPr>
        <w:t>legge</w:t>
      </w:r>
      <w:r w:rsidRPr="005E3D75">
        <w:rPr>
          <w:rFonts w:asciiTheme="minorHAnsi" w:hAnsiTheme="minorHAnsi" w:cstheme="minorHAnsi"/>
          <w:sz w:val="24"/>
          <w:szCs w:val="24"/>
          <w:lang w:eastAsia="it-IT"/>
        </w:rPr>
        <w:t xml:space="preserve"> un’</w:t>
      </w:r>
      <w:r>
        <w:rPr>
          <w:rFonts w:asciiTheme="minorHAnsi" w:hAnsiTheme="minorHAnsi" w:cstheme="minorHAnsi"/>
          <w:sz w:val="24"/>
          <w:szCs w:val="24"/>
          <w:lang w:eastAsia="it-IT"/>
        </w:rPr>
        <w:t>I</w:t>
      </w:r>
      <w:r w:rsidRPr="005E3D75">
        <w:rPr>
          <w:rFonts w:asciiTheme="minorHAnsi" w:hAnsiTheme="minorHAnsi" w:cstheme="minorHAnsi"/>
          <w:sz w:val="24"/>
          <w:szCs w:val="24"/>
          <w:lang w:eastAsia="it-IT"/>
        </w:rPr>
        <w:t>talia che va verso un’economia più a misura d’uomo che punta sulla sostenibilità, sull’innovazione, sulle comunità e sui territori”.</w:t>
      </w:r>
    </w:p>
    <w:p w14:paraId="124DFE07" w14:textId="77777777" w:rsidR="008B2C87" w:rsidRPr="00B27C3C" w:rsidRDefault="008B2C87" w:rsidP="008F059A">
      <w:pPr>
        <w:shd w:val="clear" w:color="auto" w:fill="FFFFFF"/>
        <w:spacing w:after="0" w:line="240" w:lineRule="auto"/>
        <w:rPr>
          <w:rFonts w:asciiTheme="minorHAnsi" w:hAnsiTheme="minorHAnsi" w:cstheme="minorHAnsi"/>
          <w:sz w:val="18"/>
          <w:szCs w:val="18"/>
          <w:lang w:eastAsia="it-IT"/>
        </w:rPr>
      </w:pPr>
    </w:p>
    <w:p w14:paraId="55170904" w14:textId="77777777" w:rsidR="008B2C87" w:rsidRPr="00B27C3C" w:rsidRDefault="008B2C87" w:rsidP="008B2C87">
      <w:pPr>
        <w:shd w:val="clear" w:color="auto" w:fill="FFFFFF"/>
        <w:spacing w:after="0" w:line="240" w:lineRule="auto"/>
        <w:jc w:val="center"/>
        <w:rPr>
          <w:rFonts w:asciiTheme="minorHAnsi" w:hAnsiTheme="minorHAnsi" w:cstheme="minorHAnsi"/>
          <w:b/>
          <w:bCs/>
          <w:sz w:val="18"/>
          <w:szCs w:val="18"/>
          <w:lang w:eastAsia="it-IT"/>
        </w:rPr>
      </w:pPr>
    </w:p>
    <w:p w14:paraId="51226C32" w14:textId="00CD3C04" w:rsidR="00AD0ED0" w:rsidRDefault="00AD0ED0" w:rsidP="00AD0ED0">
      <w:pPr>
        <w:spacing w:after="0" w:line="240" w:lineRule="auto"/>
        <w:jc w:val="both"/>
        <w:rPr>
          <w:rFonts w:asciiTheme="minorHAnsi" w:hAnsiTheme="minorHAnsi" w:cstheme="minorHAnsi"/>
          <w:sz w:val="24"/>
          <w:szCs w:val="24"/>
          <w:lang w:eastAsia="it-IT"/>
        </w:rPr>
      </w:pPr>
      <w:r w:rsidRPr="00AD0ED0">
        <w:rPr>
          <w:rFonts w:asciiTheme="minorHAnsi" w:hAnsiTheme="minorHAnsi" w:cstheme="minorHAnsi"/>
          <w:sz w:val="24"/>
          <w:szCs w:val="24"/>
          <w:lang w:eastAsia="it-IT"/>
        </w:rPr>
        <w:t>“GreenItaly, con i suoi numeri e le sue storie d’impresa</w:t>
      </w:r>
      <w:r w:rsidRPr="00AD0ED0">
        <w:rPr>
          <w:sz w:val="24"/>
          <w:szCs w:val="24"/>
        </w:rPr>
        <w:t xml:space="preserve"> – dichiara </w:t>
      </w:r>
      <w:r w:rsidRPr="00AD0ED0">
        <w:rPr>
          <w:rFonts w:asciiTheme="minorHAnsi" w:hAnsiTheme="minorHAnsi" w:cstheme="minorHAnsi"/>
          <w:b/>
          <w:bCs/>
          <w:sz w:val="24"/>
          <w:szCs w:val="24"/>
          <w:lang w:eastAsia="it-IT"/>
        </w:rPr>
        <w:t xml:space="preserve">Andrea Prete, presidente Unioncamere </w:t>
      </w:r>
      <w:r>
        <w:rPr>
          <w:rFonts w:asciiTheme="minorHAnsi" w:hAnsiTheme="minorHAnsi" w:cstheme="minorHAnsi"/>
          <w:sz w:val="24"/>
          <w:szCs w:val="24"/>
          <w:lang w:eastAsia="it-IT"/>
        </w:rPr>
        <w:t xml:space="preserve">- </w:t>
      </w:r>
      <w:r w:rsidRPr="00AD0ED0">
        <w:rPr>
          <w:rFonts w:asciiTheme="minorHAnsi" w:hAnsiTheme="minorHAnsi" w:cstheme="minorHAnsi"/>
          <w:sz w:val="24"/>
          <w:szCs w:val="24"/>
          <w:lang w:eastAsia="it-IT"/>
        </w:rPr>
        <w:t xml:space="preserve">pone in chiara evidenza l’impegno del sistema produttivo italiano nella transizione verde. Grazie a un trend di investimenti aziendali nella direzione della sostenibilità ambientale che non si è arrestato neanche nei periodi di maggiori difficoltà - come quelli legati alla crisi pandemica e ai conflitti mondiali - da anni siamo infatti tra i paesi eco leader in Europa. Non sempre però le nostre imprese sono messe nelle condizioni di operare al loro meglio. </w:t>
      </w:r>
      <w:r w:rsidR="00FB2A2B">
        <w:rPr>
          <w:rFonts w:asciiTheme="minorHAnsi" w:hAnsiTheme="minorHAnsi" w:cstheme="minorHAnsi"/>
          <w:sz w:val="24"/>
          <w:szCs w:val="24"/>
          <w:lang w:eastAsia="it-IT"/>
        </w:rPr>
        <w:t xml:space="preserve">È </w:t>
      </w:r>
      <w:r w:rsidRPr="00AD0ED0">
        <w:rPr>
          <w:rFonts w:asciiTheme="minorHAnsi" w:hAnsiTheme="minorHAnsi" w:cstheme="minorHAnsi"/>
          <w:sz w:val="24"/>
          <w:szCs w:val="24"/>
          <w:lang w:eastAsia="it-IT"/>
        </w:rPr>
        <w:t>il caso del tema delle energie rinnovabili, fondamentali per una riduzione delle importazioni di energia del nostro Paese e per una stabilizzazione dei prezzi, la cui crescita è spesso rallentata da ostacoli burocratici: nel 2022 è stata installata una potenza da fonti rinnovabili pari a 3 GW, contro gli 11 della Germania e i 6 della Spagna, un dato lontano dal target di circa 8-9 GW all’anno da installare entro il 2030”.</w:t>
      </w:r>
    </w:p>
    <w:p w14:paraId="66AB5149" w14:textId="77777777" w:rsidR="00144FC2" w:rsidRDefault="00144FC2" w:rsidP="00AD0ED0">
      <w:pPr>
        <w:spacing w:after="0" w:line="240" w:lineRule="auto"/>
        <w:jc w:val="both"/>
        <w:rPr>
          <w:rFonts w:asciiTheme="minorHAnsi" w:hAnsiTheme="minorHAnsi" w:cstheme="minorHAnsi"/>
          <w:sz w:val="24"/>
          <w:szCs w:val="24"/>
          <w:lang w:eastAsia="it-IT"/>
        </w:rPr>
      </w:pPr>
    </w:p>
    <w:p w14:paraId="01D6ACEA" w14:textId="77777777" w:rsidR="00144FC2" w:rsidRDefault="00144FC2" w:rsidP="00AD0ED0">
      <w:pPr>
        <w:spacing w:after="0" w:line="240" w:lineRule="auto"/>
        <w:jc w:val="both"/>
        <w:rPr>
          <w:rFonts w:asciiTheme="minorHAnsi" w:hAnsiTheme="minorHAnsi" w:cstheme="minorHAnsi"/>
          <w:sz w:val="24"/>
          <w:szCs w:val="24"/>
          <w:lang w:eastAsia="it-IT"/>
        </w:rPr>
      </w:pPr>
    </w:p>
    <w:p w14:paraId="572E6ECB" w14:textId="77777777" w:rsidR="00144FC2" w:rsidRDefault="00144FC2" w:rsidP="00AD0ED0">
      <w:pPr>
        <w:spacing w:after="0" w:line="240" w:lineRule="auto"/>
        <w:jc w:val="both"/>
        <w:rPr>
          <w:rFonts w:asciiTheme="minorHAnsi" w:hAnsiTheme="minorHAnsi" w:cstheme="minorHAnsi"/>
          <w:sz w:val="24"/>
          <w:szCs w:val="24"/>
          <w:lang w:eastAsia="it-IT"/>
        </w:rPr>
      </w:pPr>
    </w:p>
    <w:p w14:paraId="36DFCBD5" w14:textId="77777777" w:rsidR="00144FC2" w:rsidRDefault="00144FC2" w:rsidP="00AD0ED0">
      <w:pPr>
        <w:spacing w:after="0" w:line="240" w:lineRule="auto"/>
        <w:jc w:val="both"/>
        <w:rPr>
          <w:rFonts w:asciiTheme="minorHAnsi" w:hAnsiTheme="minorHAnsi" w:cstheme="minorHAnsi"/>
          <w:sz w:val="24"/>
          <w:szCs w:val="24"/>
          <w:lang w:eastAsia="it-IT"/>
        </w:rPr>
      </w:pPr>
    </w:p>
    <w:p w14:paraId="61493FBE" w14:textId="77777777" w:rsidR="00144FC2" w:rsidRPr="00AD0ED0" w:rsidRDefault="00144FC2" w:rsidP="00AD0ED0">
      <w:pPr>
        <w:spacing w:after="0" w:line="240" w:lineRule="auto"/>
        <w:jc w:val="both"/>
        <w:rPr>
          <w:rFonts w:asciiTheme="minorHAnsi" w:hAnsiTheme="minorHAnsi" w:cstheme="minorHAnsi"/>
          <w:sz w:val="24"/>
          <w:szCs w:val="24"/>
          <w:lang w:eastAsia="it-IT"/>
        </w:rPr>
      </w:pPr>
    </w:p>
    <w:p w14:paraId="4DD8DF8E" w14:textId="77777777" w:rsidR="008B2C87" w:rsidRDefault="008B2C87" w:rsidP="00C141E2">
      <w:pPr>
        <w:jc w:val="both"/>
        <w:rPr>
          <w:sz w:val="24"/>
          <w:szCs w:val="24"/>
        </w:rPr>
      </w:pPr>
    </w:p>
    <w:p w14:paraId="6F4DA8C6" w14:textId="5F83933F" w:rsidR="00C141E2" w:rsidRDefault="00C141E2" w:rsidP="00C141E2">
      <w:pPr>
        <w:jc w:val="both"/>
        <w:rPr>
          <w:sz w:val="24"/>
          <w:szCs w:val="24"/>
        </w:rPr>
      </w:pPr>
      <w:r w:rsidRPr="00CD0752">
        <w:rPr>
          <w:sz w:val="24"/>
          <w:szCs w:val="24"/>
        </w:rPr>
        <w:lastRenderedPageBreak/>
        <w:t xml:space="preserve">Nel quinquennio 2018-2022, sono state </w:t>
      </w:r>
      <w:r w:rsidRPr="00CD0752">
        <w:rPr>
          <w:b/>
          <w:bCs/>
          <w:sz w:val="24"/>
          <w:szCs w:val="24"/>
        </w:rPr>
        <w:t>510.830 le imprese che hanno effettuato</w:t>
      </w:r>
      <w:r w:rsidRPr="00CD0752">
        <w:rPr>
          <w:sz w:val="24"/>
          <w:szCs w:val="24"/>
        </w:rPr>
        <w:t xml:space="preserve"> </w:t>
      </w:r>
      <w:r w:rsidRPr="00CD0752">
        <w:rPr>
          <w:b/>
          <w:bCs/>
          <w:sz w:val="24"/>
          <w:szCs w:val="24"/>
        </w:rPr>
        <w:t>eco-investimenti</w:t>
      </w:r>
      <w:r w:rsidRPr="00CD0752">
        <w:rPr>
          <w:sz w:val="24"/>
          <w:szCs w:val="24"/>
        </w:rPr>
        <w:t xml:space="preserve"> pari al 35,1% del totale ovvero più di 1 su 3</w:t>
      </w:r>
      <w:r w:rsidR="00752DAB">
        <w:rPr>
          <w:sz w:val="24"/>
          <w:szCs w:val="24"/>
        </w:rPr>
        <w:t>.</w:t>
      </w:r>
    </w:p>
    <w:p w14:paraId="2AFCCE3F" w14:textId="77777777" w:rsidR="00E7601A" w:rsidRPr="00E7601A" w:rsidRDefault="00E7601A" w:rsidP="00E7601A">
      <w:pPr>
        <w:spacing w:after="120" w:line="264" w:lineRule="auto"/>
        <w:jc w:val="both"/>
        <w:rPr>
          <w:sz w:val="24"/>
          <w:szCs w:val="24"/>
        </w:rPr>
      </w:pPr>
      <w:r w:rsidRPr="00E7601A">
        <w:rPr>
          <w:sz w:val="24"/>
          <w:szCs w:val="24"/>
        </w:rPr>
        <w:t xml:space="preserve">Sotto il profilo dell’occupazione, alla fine dello scorso anno </w:t>
      </w:r>
      <w:r w:rsidRPr="00E7601A">
        <w:rPr>
          <w:b/>
          <w:bCs/>
          <w:sz w:val="24"/>
          <w:szCs w:val="24"/>
        </w:rPr>
        <w:t xml:space="preserve">le figure professionali legate alla green economy </w:t>
      </w:r>
      <w:r w:rsidRPr="00E7601A">
        <w:rPr>
          <w:sz w:val="24"/>
          <w:szCs w:val="24"/>
        </w:rPr>
        <w:t>rappresentavano il 13,9% degli occupati totali, 3.222 mila unità. Nel 2022 i contratti attivati di queste figure sono stati pari a 1.816.120, il 35,1% dei contratti totali previsti nell’anno (circa 5,2 mln), con un incremento di 215.660 unità rispetto alla precedente rilevazione.</w:t>
      </w:r>
    </w:p>
    <w:p w14:paraId="32234B28" w14:textId="77777777" w:rsidR="00E7601A" w:rsidRDefault="00E7601A" w:rsidP="00E7601A">
      <w:pPr>
        <w:spacing w:after="120" w:line="264" w:lineRule="auto"/>
        <w:jc w:val="both"/>
        <w:rPr>
          <w:sz w:val="24"/>
          <w:szCs w:val="24"/>
        </w:rPr>
      </w:pPr>
      <w:r w:rsidRPr="00E7601A">
        <w:rPr>
          <w:sz w:val="24"/>
          <w:szCs w:val="24"/>
        </w:rPr>
        <w:t>Tra le aree aziendali più interessate sul totale delle attivazioni troviamo le aree progettazione e sviluppo (incidenza 87%), logistica (81,7%) e marketing e comunicazione (79,2%). Guardando in maniera allargata alla richiesta di competenze e cultura green, nel 2022 – su un totale di quasi 5,2 milioni di contratti previste nel mercato del lavoro – questa conoscenza è stata ritenuta necessaria nell’81,1% dei casi, per circa 4,2 milioni di contratti.</w:t>
      </w:r>
    </w:p>
    <w:p w14:paraId="4E14D208" w14:textId="551F7048" w:rsidR="003A69BF" w:rsidRPr="00CD0752" w:rsidRDefault="003A69BF" w:rsidP="00E7601A">
      <w:pPr>
        <w:spacing w:after="120" w:line="264" w:lineRule="auto"/>
        <w:jc w:val="both"/>
        <w:rPr>
          <w:rFonts w:asciiTheme="minorHAnsi" w:eastAsiaTheme="minorHAnsi" w:hAnsiTheme="minorHAnsi" w:cstheme="minorBidi"/>
          <w:sz w:val="24"/>
          <w:szCs w:val="24"/>
        </w:rPr>
      </w:pPr>
      <w:r w:rsidRPr="00CD0752">
        <w:rPr>
          <w:rFonts w:asciiTheme="minorHAnsi" w:eastAsiaTheme="minorHAnsi" w:hAnsiTheme="minorHAnsi" w:cstheme="minorBidi"/>
          <w:sz w:val="24"/>
          <w:szCs w:val="24"/>
        </w:rPr>
        <w:t xml:space="preserve">A </w:t>
      </w:r>
      <w:r w:rsidRPr="00CD0752">
        <w:rPr>
          <w:rFonts w:asciiTheme="minorHAnsi" w:eastAsiaTheme="minorHAnsi" w:hAnsiTheme="minorHAnsi" w:cstheme="minorBidi"/>
          <w:b/>
          <w:bCs/>
          <w:sz w:val="24"/>
          <w:szCs w:val="24"/>
        </w:rPr>
        <w:t>livello territoriale</w:t>
      </w:r>
      <w:r w:rsidRPr="00CD0752">
        <w:rPr>
          <w:rFonts w:asciiTheme="minorHAnsi" w:eastAsiaTheme="minorHAnsi" w:hAnsiTheme="minorHAnsi" w:cstheme="minorBidi"/>
          <w:sz w:val="24"/>
          <w:szCs w:val="24"/>
        </w:rPr>
        <w:t>, il Nord-Ovest si conferma l’area con il maggior numero di attivazioni green programmate, 598.250 unità nel 2022, segnando un +13,5% rispetto all’anno precedente. Il tasso di crescita più significativo si registra al Centro, +15,9% tra il 2021 ed il 2022 (323.590 nuovi contratti green a fine periodo), mentre cresce meno della media nazionale il Mezzogiorno, +11,2% (453.620 contratti green). A chiudere il quadro il Nord-</w:t>
      </w:r>
      <w:r w:rsidR="00B73727">
        <w:rPr>
          <w:rFonts w:asciiTheme="minorHAnsi" w:eastAsiaTheme="minorHAnsi" w:hAnsiTheme="minorHAnsi" w:cstheme="minorBidi"/>
          <w:sz w:val="24"/>
          <w:szCs w:val="24"/>
        </w:rPr>
        <w:t>E</w:t>
      </w:r>
      <w:r w:rsidRPr="00CD0752">
        <w:rPr>
          <w:rFonts w:asciiTheme="minorHAnsi" w:eastAsiaTheme="minorHAnsi" w:hAnsiTheme="minorHAnsi" w:cstheme="minorBidi"/>
          <w:sz w:val="24"/>
          <w:szCs w:val="24"/>
        </w:rPr>
        <w:t>st che nel 2022 fa registrare un +14,1% rispetto al 2021 (440.660 attivazioni). In termini di incidenza delle attivazioni programmate di green jobs sul totale delle assunzioni attese nel 2022 per macro-area, il Nord-Ovest è ancora una volta leader con il 39,2%, seguito dal Nord-Est (35,4%), entrambi con valori superiori alla media nazionale (35,1%). Al di sotto della media nazionale, invece, il Centro con il 31,7% di contratti green sul totale macro-area (è aumentata di ben 1,2 punti percentuali rispetto al 2021), ed il Sud e Isole con un’incidenza sostanzialmente identica a quella dello scorso anno (32,7% nel 2022 contro il 32,8% del 2021).</w:t>
      </w:r>
    </w:p>
    <w:p w14:paraId="0FCA6C07" w14:textId="465ADE65" w:rsidR="003A69BF" w:rsidRPr="00CD0752" w:rsidRDefault="003A69BF" w:rsidP="003A69BF">
      <w:pPr>
        <w:spacing w:after="120" w:line="264" w:lineRule="auto"/>
        <w:jc w:val="both"/>
        <w:rPr>
          <w:rFonts w:asciiTheme="minorHAnsi" w:eastAsiaTheme="minorHAnsi" w:hAnsiTheme="minorHAnsi" w:cstheme="minorBidi"/>
          <w:sz w:val="24"/>
          <w:szCs w:val="24"/>
        </w:rPr>
      </w:pPr>
      <w:r w:rsidRPr="00CD0752">
        <w:rPr>
          <w:rFonts w:asciiTheme="minorHAnsi" w:eastAsiaTheme="minorHAnsi" w:hAnsiTheme="minorHAnsi" w:cstheme="minorBidi"/>
          <w:sz w:val="24"/>
          <w:szCs w:val="24"/>
        </w:rPr>
        <w:t xml:space="preserve">A </w:t>
      </w:r>
      <w:r w:rsidRPr="00CD0752">
        <w:rPr>
          <w:rFonts w:asciiTheme="minorHAnsi" w:eastAsiaTheme="minorHAnsi" w:hAnsiTheme="minorHAnsi" w:cstheme="minorBidi"/>
          <w:b/>
          <w:bCs/>
          <w:sz w:val="24"/>
          <w:szCs w:val="24"/>
        </w:rPr>
        <w:t>livello regionale</w:t>
      </w:r>
      <w:r w:rsidRPr="00CD0752">
        <w:rPr>
          <w:rFonts w:asciiTheme="minorHAnsi" w:eastAsiaTheme="minorHAnsi" w:hAnsiTheme="minorHAnsi" w:cstheme="minorBidi"/>
          <w:sz w:val="24"/>
          <w:szCs w:val="24"/>
        </w:rPr>
        <w:t xml:space="preserve"> la Lombardia continua a contraddistinguersi come la regione più dinamica, con 421.170 nuovi contratti green jobs attesi nel 2022 (in crescita del 14,7% rispetto al 2021), primato che possiede non soltanto in termini assoluti ma anche relativi (l’incidenza dei green jobs sul totale delle attivazioni previste nella regione è del 40,8%). Nelle prime quattro regioni per numero di attivazioni green jobs (Lombardia, Veneto, Emilia-Romagna e Lazio) è concentrato il 51,9% dei nuovi contratti</w:t>
      </w:r>
      <w:r w:rsidR="009A2C94">
        <w:rPr>
          <w:rFonts w:asciiTheme="minorHAnsi" w:eastAsiaTheme="minorHAnsi" w:hAnsiTheme="minorHAnsi" w:cstheme="minorBidi"/>
          <w:sz w:val="24"/>
          <w:szCs w:val="24"/>
        </w:rPr>
        <w:t xml:space="preserve">. </w:t>
      </w:r>
      <w:r w:rsidRPr="00CD0752">
        <w:rPr>
          <w:rFonts w:asciiTheme="minorHAnsi" w:eastAsiaTheme="minorHAnsi" w:hAnsiTheme="minorHAnsi" w:cstheme="minorBidi"/>
          <w:sz w:val="24"/>
          <w:szCs w:val="24"/>
        </w:rPr>
        <w:t>Rispetto al 2021, la crescita dei contratti green jobs è stata poco uniforme, accentuando le differenze regionali già esistenti. Infatti – considerando un intervallo di +/- cinque punti percentuali rispetto alla media nazionale (+13,5%) – si registra una crescita oltre l’intervallo in Emilia-Romagna (+20,1%) e Marche (+19,1%), ed inferiore all’intervallo in Abruzzo (+8,5%), Puglia (+7,3%), Trentino-Alto Adige (+6,6%), Basilicata (+6,3%), Liguria (+5,2%), Friuli-Venezia Giulia (+3,2%), Molise (+1,6%) e Valle d’Aosta (unica a far registrare una contrazione, -1,3%).</w:t>
      </w:r>
    </w:p>
    <w:p w14:paraId="639F0A54" w14:textId="58B9119B" w:rsidR="003A69BF" w:rsidRPr="00CD0752" w:rsidRDefault="003A69BF" w:rsidP="003A69BF">
      <w:pPr>
        <w:spacing w:after="120" w:line="264" w:lineRule="auto"/>
        <w:jc w:val="both"/>
        <w:rPr>
          <w:rFonts w:asciiTheme="minorHAnsi" w:eastAsiaTheme="minorHAnsi" w:hAnsiTheme="minorHAnsi" w:cstheme="minorBidi"/>
          <w:sz w:val="24"/>
          <w:szCs w:val="24"/>
        </w:rPr>
      </w:pPr>
      <w:r w:rsidRPr="00CD0752">
        <w:rPr>
          <w:rFonts w:asciiTheme="minorHAnsi" w:eastAsiaTheme="minorHAnsi" w:hAnsiTheme="minorHAnsi" w:cstheme="minorBidi"/>
          <w:sz w:val="24"/>
          <w:szCs w:val="24"/>
        </w:rPr>
        <w:t xml:space="preserve">A </w:t>
      </w:r>
      <w:r w:rsidRPr="00CD0752">
        <w:rPr>
          <w:rFonts w:asciiTheme="minorHAnsi" w:eastAsiaTheme="minorHAnsi" w:hAnsiTheme="minorHAnsi" w:cstheme="minorBidi"/>
          <w:b/>
          <w:bCs/>
          <w:sz w:val="24"/>
          <w:szCs w:val="24"/>
        </w:rPr>
        <w:t>livello provinciale</w:t>
      </w:r>
      <w:r w:rsidRPr="00CD0752">
        <w:rPr>
          <w:rFonts w:asciiTheme="minorHAnsi" w:eastAsiaTheme="minorHAnsi" w:hAnsiTheme="minorHAnsi" w:cstheme="minorBidi"/>
          <w:sz w:val="24"/>
          <w:szCs w:val="24"/>
        </w:rPr>
        <w:t xml:space="preserve">, Milano segna anche nel 2022 il maggior numero di attivazioni green (186.360 contratti attesi, pari al 10,3% del totale dei contratti green jobs su scala nazionale ed al 41% del totale delle attivazioni previste nella provincia). In particolare, nelle province di Milano, Roma, Napoli e Torino è concentrato circa un quarto (24,9%) del totale delle nuove attivazioni green attese nel 2022. In termini di incidenza dei nuovi contratti green jobs sul totale dei nuovi contratti della </w:t>
      </w:r>
      <w:r w:rsidRPr="00CD0752">
        <w:rPr>
          <w:rFonts w:asciiTheme="minorHAnsi" w:eastAsiaTheme="minorHAnsi" w:hAnsiTheme="minorHAnsi" w:cstheme="minorBidi"/>
          <w:sz w:val="24"/>
          <w:szCs w:val="24"/>
        </w:rPr>
        <w:lastRenderedPageBreak/>
        <w:t>provincia, i valori più elevati si registrano nelle province di Piacenza (52,2%), Caltanissetta (48,5%), Lodi (46,4%) e Frosinone (45,2%).</w:t>
      </w:r>
    </w:p>
    <w:p w14:paraId="70BA206B" w14:textId="6EB3A625" w:rsidR="004D54E3" w:rsidRPr="00CD3D21" w:rsidRDefault="00C141E2" w:rsidP="00C141E2">
      <w:pPr>
        <w:spacing w:after="200" w:line="276" w:lineRule="auto"/>
        <w:jc w:val="both"/>
        <w:rPr>
          <w:sz w:val="24"/>
          <w:szCs w:val="24"/>
        </w:rPr>
      </w:pPr>
      <w:r w:rsidRPr="00CD3D21">
        <w:rPr>
          <w:rFonts w:asciiTheme="minorHAnsi" w:hAnsiTheme="minorHAnsi" w:cstheme="minorHAnsi"/>
          <w:sz w:val="24"/>
          <w:szCs w:val="24"/>
        </w:rPr>
        <w:t xml:space="preserve">Siamo </w:t>
      </w:r>
      <w:r w:rsidRPr="00CD3D21">
        <w:rPr>
          <w:rFonts w:asciiTheme="minorHAnsi" w:hAnsiTheme="minorHAnsi" w:cstheme="minorHAnsi"/>
          <w:b/>
          <w:bCs/>
          <w:sz w:val="24"/>
          <w:szCs w:val="24"/>
        </w:rPr>
        <w:t>leader nell’economia circolare</w:t>
      </w:r>
      <w:r w:rsidRPr="00CD3D21">
        <w:rPr>
          <w:rFonts w:asciiTheme="minorHAnsi" w:hAnsiTheme="minorHAnsi" w:cstheme="minorHAnsi"/>
          <w:sz w:val="24"/>
          <w:szCs w:val="24"/>
        </w:rPr>
        <w:t xml:space="preserve"> con un avvio a riciclo sulla totalità dei rifiuti - urbani e speciali - del 83,4% (202</w:t>
      </w:r>
      <w:r w:rsidR="004D54E3" w:rsidRPr="00CD3D21">
        <w:rPr>
          <w:rFonts w:asciiTheme="minorHAnsi" w:hAnsiTheme="minorHAnsi" w:cstheme="minorHAnsi"/>
          <w:sz w:val="24"/>
          <w:szCs w:val="24"/>
        </w:rPr>
        <w:t>2</w:t>
      </w:r>
      <w:r w:rsidRPr="00CD3D21">
        <w:rPr>
          <w:rFonts w:asciiTheme="minorHAnsi" w:hAnsiTheme="minorHAnsi" w:cstheme="minorHAnsi"/>
          <w:sz w:val="24"/>
          <w:szCs w:val="24"/>
        </w:rPr>
        <w:t xml:space="preserve">): </w:t>
      </w:r>
      <w:r w:rsidR="004D54E3" w:rsidRPr="00CD3D21">
        <w:rPr>
          <w:sz w:val="24"/>
          <w:szCs w:val="24"/>
          <w:lang w:eastAsia="it-IT"/>
        </w:rPr>
        <w:t>di gran lunga superiore a quello di tutte le grandi economie europee.</w:t>
      </w:r>
      <w:r w:rsidR="004D54E3" w:rsidRPr="00CD3D21">
        <w:rPr>
          <w:sz w:val="24"/>
          <w:szCs w:val="24"/>
        </w:rPr>
        <w:t xml:space="preserve">  Un tasso di riciclo superiore di oltre 30 punti alla media UE (52,6%) e ben superiore a tutti gli altri grandi Paesi europei, come Francia (64,4%), Germania (70%), Spagna (59,8%). Non solo. L’Italia è anche uno dei pochi Paesi europei che dal 2010 al 2020 – nonostante un tasso di riciclo già elevato – ha comunque migliorato le sue prestazioni (+10 punti percentuali, contro una media UE di 6 punti percentuali) </w:t>
      </w:r>
    </w:p>
    <w:p w14:paraId="5F5C010D" w14:textId="119A3240" w:rsidR="00C141E2" w:rsidRPr="00267BA8" w:rsidRDefault="00C141E2" w:rsidP="004D54E3">
      <w:pPr>
        <w:spacing w:after="200" w:line="276" w:lineRule="auto"/>
        <w:jc w:val="both"/>
        <w:rPr>
          <w:sz w:val="24"/>
          <w:szCs w:val="24"/>
        </w:rPr>
      </w:pPr>
      <w:r w:rsidRPr="00267BA8">
        <w:rPr>
          <w:rFonts w:asciiTheme="minorHAnsi" w:hAnsiTheme="minorHAnsi" w:cstheme="minorHAnsi"/>
          <w:sz w:val="24"/>
          <w:szCs w:val="24"/>
        </w:rPr>
        <w:t>Nel biennio 2020-2021</w:t>
      </w:r>
      <w:r w:rsidRPr="00267BA8">
        <w:rPr>
          <w:sz w:val="24"/>
          <w:szCs w:val="24"/>
        </w:rPr>
        <w:t xml:space="preserve"> si è inoltre verificato un inatteso </w:t>
      </w:r>
      <w:r w:rsidRPr="00267BA8">
        <w:rPr>
          <w:b/>
          <w:bCs/>
          <w:sz w:val="24"/>
          <w:szCs w:val="24"/>
        </w:rPr>
        <w:t>consolidamento della capacità di riciclo industriale dell’Italia</w:t>
      </w:r>
      <w:r w:rsidRPr="00267BA8">
        <w:rPr>
          <w:sz w:val="24"/>
          <w:szCs w:val="24"/>
        </w:rPr>
        <w:t xml:space="preserve"> – specialmente nel comparto cartario – che ha visto in tutti i settori incrementare, anche in maniera importante, la quota di materie seconde impiegate. Un eccellente risultato per la transizione ecologica e lo sviluppo di un’economia sempre più circolar</w:t>
      </w:r>
      <w:r w:rsidR="004D54E3" w:rsidRPr="00267BA8">
        <w:rPr>
          <w:sz w:val="24"/>
          <w:szCs w:val="24"/>
        </w:rPr>
        <w:t>e.</w:t>
      </w:r>
    </w:p>
    <w:p w14:paraId="1334B323" w14:textId="77777777" w:rsidR="004D54E3" w:rsidRPr="00267BA8" w:rsidRDefault="004D54E3" w:rsidP="004D54E3">
      <w:pPr>
        <w:spacing w:after="200" w:line="276" w:lineRule="auto"/>
        <w:jc w:val="both"/>
        <w:rPr>
          <w:sz w:val="24"/>
          <w:szCs w:val="24"/>
        </w:rPr>
      </w:pPr>
      <w:r w:rsidRPr="00267BA8">
        <w:rPr>
          <w:sz w:val="24"/>
          <w:szCs w:val="24"/>
        </w:rPr>
        <w:t>In tema di economia circolare, va segnalato che l'Italia nel 2022 ha approvato la Strategia Nazionale per l'Economia Circolare, che definisce i seguenti obiettivi: 1) favorire il mercato delle materie prime secondarie; 2) estendere la responsabilità dei produttori e dei consumatori; 3) diffondere pratiche di condivisione e il principio del "prodotto come servizio"; 4) definire una roadmap di azioni e obiettivi fino al 2040.</w:t>
      </w:r>
    </w:p>
    <w:p w14:paraId="374D1FD9" w14:textId="67C8FCDC" w:rsidR="004D54E3" w:rsidRPr="00414B6C" w:rsidRDefault="004D54E3" w:rsidP="004D54E3">
      <w:pPr>
        <w:spacing w:after="200" w:line="276" w:lineRule="auto"/>
        <w:jc w:val="both"/>
        <w:rPr>
          <w:sz w:val="24"/>
          <w:szCs w:val="24"/>
        </w:rPr>
      </w:pPr>
      <w:r w:rsidRPr="00414B6C">
        <w:rPr>
          <w:sz w:val="24"/>
          <w:szCs w:val="24"/>
        </w:rPr>
        <w:t>La strategia comprende interventi pensati per l'intera filiera, considerando sia il lato della produzione che quello del consumo dei beni, nonché l’implementazione di piani di monitoraggio per misurare le performance di imprese (soprattutto PMI), aree industriali e filiere produttive, città e territori, cittadini-consumatori, eco-design, blue economy, bioeconomia e materie prime critiche. La strategia fa parte del Piano nazionale di ripresa e resilienza (PNRR), con uno stanziamento specifico di 2,1 miliardi di euro per migliorare la gestione dei rifiuti e l'economia circolare attraverso un pacchetto di investimenti e riforme, tra cui, appunto, l'adozione della Strategia nazionale per l'economia circolare e del Piano nazionale di gestione dei rifiuti.</w:t>
      </w:r>
    </w:p>
    <w:p w14:paraId="0081D057" w14:textId="77777777" w:rsidR="004D54E3" w:rsidRDefault="004D54E3" w:rsidP="00C141E2">
      <w:pPr>
        <w:spacing w:line="240" w:lineRule="auto"/>
        <w:jc w:val="both"/>
      </w:pPr>
    </w:p>
    <w:p w14:paraId="3B021651" w14:textId="77777777" w:rsidR="004D54E3" w:rsidRDefault="004D54E3" w:rsidP="00C141E2">
      <w:pPr>
        <w:spacing w:line="240" w:lineRule="auto"/>
        <w:jc w:val="both"/>
      </w:pPr>
    </w:p>
    <w:p w14:paraId="6DF11B88" w14:textId="77777777" w:rsidR="004D54E3" w:rsidRPr="005A170E" w:rsidRDefault="004D54E3" w:rsidP="00C141E2">
      <w:pPr>
        <w:spacing w:line="240" w:lineRule="auto"/>
        <w:jc w:val="both"/>
      </w:pPr>
    </w:p>
    <w:p w14:paraId="6C55B835" w14:textId="77777777" w:rsidR="007B1E66" w:rsidRDefault="007B1E66" w:rsidP="00EC7E5C">
      <w:pPr>
        <w:spacing w:after="0" w:line="240" w:lineRule="auto"/>
        <w:jc w:val="both"/>
        <w:rPr>
          <w:b/>
          <w:bCs/>
        </w:rPr>
      </w:pPr>
    </w:p>
    <w:p w14:paraId="2D1B6576" w14:textId="77777777" w:rsidR="007B1E66" w:rsidRDefault="007B1E66" w:rsidP="00EC7E5C">
      <w:pPr>
        <w:spacing w:after="0" w:line="240" w:lineRule="auto"/>
        <w:jc w:val="both"/>
        <w:rPr>
          <w:b/>
          <w:bCs/>
        </w:rPr>
      </w:pPr>
    </w:p>
    <w:p w14:paraId="78A2F30A" w14:textId="77777777" w:rsidR="007B1E66" w:rsidRDefault="007B1E66" w:rsidP="00EC7E5C">
      <w:pPr>
        <w:spacing w:after="0" w:line="240" w:lineRule="auto"/>
        <w:jc w:val="both"/>
        <w:rPr>
          <w:b/>
          <w:bCs/>
        </w:rPr>
      </w:pPr>
    </w:p>
    <w:p w14:paraId="68EAAE2E" w14:textId="77777777" w:rsidR="007B1E66" w:rsidRDefault="007B1E66" w:rsidP="00EC7E5C">
      <w:pPr>
        <w:spacing w:after="0" w:line="240" w:lineRule="auto"/>
        <w:jc w:val="both"/>
        <w:rPr>
          <w:b/>
          <w:bCs/>
        </w:rPr>
      </w:pPr>
    </w:p>
    <w:p w14:paraId="55F822D9" w14:textId="77777777" w:rsidR="007B1E66" w:rsidRDefault="007B1E66" w:rsidP="00EC7E5C">
      <w:pPr>
        <w:spacing w:after="0" w:line="240" w:lineRule="auto"/>
        <w:jc w:val="both"/>
        <w:rPr>
          <w:b/>
          <w:bCs/>
        </w:rPr>
      </w:pPr>
    </w:p>
    <w:p w14:paraId="4773B9C8" w14:textId="77777777" w:rsidR="007B1E66" w:rsidRDefault="007B1E66" w:rsidP="00EC7E5C">
      <w:pPr>
        <w:spacing w:after="0" w:line="240" w:lineRule="auto"/>
        <w:jc w:val="both"/>
        <w:rPr>
          <w:b/>
          <w:bCs/>
        </w:rPr>
      </w:pPr>
    </w:p>
    <w:p w14:paraId="679E6A09" w14:textId="77777777" w:rsidR="007B1E66" w:rsidRDefault="007B1E66" w:rsidP="00EC7E5C">
      <w:pPr>
        <w:spacing w:after="0" w:line="240" w:lineRule="auto"/>
        <w:jc w:val="both"/>
        <w:rPr>
          <w:b/>
          <w:bCs/>
        </w:rPr>
      </w:pPr>
    </w:p>
    <w:p w14:paraId="74C1730D" w14:textId="77777777" w:rsidR="007B1E66" w:rsidRDefault="007B1E66" w:rsidP="00EC7E5C">
      <w:pPr>
        <w:spacing w:after="0" w:line="240" w:lineRule="auto"/>
        <w:jc w:val="both"/>
        <w:rPr>
          <w:b/>
          <w:bCs/>
        </w:rPr>
      </w:pPr>
    </w:p>
    <w:p w14:paraId="7035435C" w14:textId="77777777" w:rsidR="007B1E66" w:rsidRDefault="007B1E66" w:rsidP="00EC7E5C">
      <w:pPr>
        <w:spacing w:after="0" w:line="240" w:lineRule="auto"/>
        <w:jc w:val="both"/>
        <w:rPr>
          <w:b/>
          <w:bCs/>
        </w:rPr>
      </w:pPr>
    </w:p>
    <w:p w14:paraId="5501A2D6" w14:textId="77777777" w:rsidR="007B1E66" w:rsidRDefault="007B1E66" w:rsidP="00EC7E5C">
      <w:pPr>
        <w:spacing w:after="0" w:line="240" w:lineRule="auto"/>
        <w:jc w:val="both"/>
        <w:rPr>
          <w:b/>
          <w:bCs/>
        </w:rPr>
      </w:pPr>
    </w:p>
    <w:p w14:paraId="5CA41497" w14:textId="77777777" w:rsidR="008F059A" w:rsidRDefault="008F059A" w:rsidP="00EC7E5C">
      <w:pPr>
        <w:spacing w:after="0" w:line="240" w:lineRule="auto"/>
        <w:jc w:val="both"/>
        <w:rPr>
          <w:b/>
          <w:bCs/>
        </w:rPr>
      </w:pPr>
    </w:p>
    <w:p w14:paraId="08F1EAFE" w14:textId="77777777" w:rsidR="008F059A" w:rsidRDefault="008F059A" w:rsidP="00EC7E5C">
      <w:pPr>
        <w:spacing w:after="0" w:line="240" w:lineRule="auto"/>
        <w:jc w:val="both"/>
        <w:rPr>
          <w:b/>
          <w:bCs/>
        </w:rPr>
      </w:pPr>
    </w:p>
    <w:p w14:paraId="3ADD6CD2" w14:textId="77777777" w:rsidR="008F059A" w:rsidRDefault="008F059A" w:rsidP="00EC7E5C">
      <w:pPr>
        <w:spacing w:after="0" w:line="240" w:lineRule="auto"/>
        <w:jc w:val="both"/>
        <w:rPr>
          <w:b/>
          <w:bCs/>
        </w:rPr>
      </w:pPr>
    </w:p>
    <w:p w14:paraId="50DC7175" w14:textId="77777777" w:rsidR="008F059A" w:rsidRDefault="008F059A" w:rsidP="00EC7E5C">
      <w:pPr>
        <w:spacing w:after="0" w:line="240" w:lineRule="auto"/>
        <w:jc w:val="both"/>
        <w:rPr>
          <w:b/>
          <w:bCs/>
        </w:rPr>
      </w:pPr>
    </w:p>
    <w:p w14:paraId="01C724F1" w14:textId="77777777" w:rsidR="008F059A" w:rsidRDefault="008F059A" w:rsidP="00EC7E5C">
      <w:pPr>
        <w:spacing w:after="0" w:line="240" w:lineRule="auto"/>
        <w:jc w:val="both"/>
        <w:rPr>
          <w:b/>
          <w:bCs/>
        </w:rPr>
      </w:pPr>
    </w:p>
    <w:p w14:paraId="7F01AEC5" w14:textId="77777777" w:rsidR="008F059A" w:rsidRDefault="008F059A" w:rsidP="00EC7E5C">
      <w:pPr>
        <w:spacing w:after="0" w:line="240" w:lineRule="auto"/>
        <w:jc w:val="both"/>
        <w:rPr>
          <w:b/>
          <w:bCs/>
        </w:rPr>
      </w:pPr>
    </w:p>
    <w:p w14:paraId="0FFA3390" w14:textId="77777777" w:rsidR="008F059A" w:rsidRDefault="008F059A" w:rsidP="00EC7E5C">
      <w:pPr>
        <w:spacing w:after="0" w:line="240" w:lineRule="auto"/>
        <w:jc w:val="both"/>
        <w:rPr>
          <w:b/>
          <w:bCs/>
        </w:rPr>
      </w:pPr>
    </w:p>
    <w:p w14:paraId="5D92696F" w14:textId="77777777" w:rsidR="008F059A" w:rsidRDefault="008F059A" w:rsidP="00EC7E5C">
      <w:pPr>
        <w:spacing w:after="0" w:line="240" w:lineRule="auto"/>
        <w:jc w:val="both"/>
        <w:rPr>
          <w:b/>
          <w:bCs/>
        </w:rPr>
      </w:pPr>
    </w:p>
    <w:p w14:paraId="72DBA28B" w14:textId="77777777" w:rsidR="008F059A" w:rsidRDefault="008F059A" w:rsidP="00EC7E5C">
      <w:pPr>
        <w:spacing w:after="0" w:line="240" w:lineRule="auto"/>
        <w:jc w:val="both"/>
        <w:rPr>
          <w:b/>
          <w:bCs/>
        </w:rPr>
      </w:pPr>
    </w:p>
    <w:p w14:paraId="799A7D88" w14:textId="77777777" w:rsidR="00134787" w:rsidRDefault="00134787" w:rsidP="00EC7E5C">
      <w:pPr>
        <w:spacing w:after="0" w:line="240" w:lineRule="auto"/>
        <w:jc w:val="both"/>
        <w:rPr>
          <w:b/>
          <w:bCs/>
        </w:rPr>
      </w:pPr>
    </w:p>
    <w:p w14:paraId="04BB13A4" w14:textId="45B2DB79" w:rsidR="00C141E2" w:rsidRPr="00EC7E5C" w:rsidRDefault="00C141E2" w:rsidP="00EC7E5C">
      <w:pPr>
        <w:spacing w:after="0" w:line="240" w:lineRule="auto"/>
        <w:jc w:val="both"/>
        <w:rPr>
          <w:b/>
          <w:bCs/>
        </w:rPr>
      </w:pPr>
      <w:r w:rsidRPr="00EC7E5C">
        <w:rPr>
          <w:b/>
          <w:bCs/>
        </w:rPr>
        <w:t>Prime venti province italiane per valore assoluto delle imprese che hanno effettuato eco-investimenti nel periodo 2018–2021 e/o investiranno nel 2022 in prodotti e tecnologie green</w:t>
      </w:r>
      <w:r w:rsidR="00EC7E5C">
        <w:rPr>
          <w:b/>
          <w:bCs/>
        </w:rPr>
        <w:t xml:space="preserve">. </w:t>
      </w:r>
      <w:r w:rsidRPr="00EC7E5C">
        <w:rPr>
          <w:b/>
          <w:bCs/>
        </w:rPr>
        <w:t>Anni 2018-2022, valori assoluti e incidenza percentuale delle imprese green sul totale delle imprese della provincia</w:t>
      </w:r>
    </w:p>
    <w:p w14:paraId="17ED28A9" w14:textId="6F4BE248" w:rsidR="00C141E2" w:rsidRDefault="00C141E2" w:rsidP="00C141E2">
      <w:pPr>
        <w:spacing w:after="0" w:line="240" w:lineRule="auto"/>
        <w:rPr>
          <w:rFonts w:eastAsia="Times New Roman" w:cs="Calibri"/>
          <w:color w:val="000000"/>
          <w:sz w:val="18"/>
          <w:szCs w:val="18"/>
          <w:lang w:eastAsia="it-IT"/>
        </w:rPr>
      </w:pPr>
      <w:r>
        <w:rPr>
          <w:rFonts w:eastAsia="Times New Roman" w:cs="Calibri"/>
          <w:color w:val="000000"/>
          <w:sz w:val="18"/>
          <w:szCs w:val="18"/>
          <w:lang w:eastAsia="it-IT"/>
        </w:rPr>
        <w:t>F</w:t>
      </w:r>
      <w:r w:rsidRPr="006A4E0E">
        <w:rPr>
          <w:rFonts w:eastAsia="Times New Roman" w:cs="Calibri"/>
          <w:color w:val="000000"/>
          <w:sz w:val="18"/>
          <w:szCs w:val="18"/>
          <w:lang w:eastAsia="it-IT"/>
        </w:rPr>
        <w:t>onte: Unioncamere</w:t>
      </w:r>
      <w:r>
        <w:rPr>
          <w:rFonts w:eastAsia="Times New Roman" w:cs="Calibri"/>
          <w:color w:val="000000"/>
          <w:sz w:val="18"/>
          <w:szCs w:val="18"/>
          <w:lang w:eastAsia="it-IT"/>
        </w:rPr>
        <w:t xml:space="preserve"> </w:t>
      </w:r>
    </w:p>
    <w:p w14:paraId="671A1963" w14:textId="77777777" w:rsidR="00DF590D" w:rsidRDefault="00DF590D" w:rsidP="00C141E2">
      <w:pPr>
        <w:spacing w:after="0" w:line="240" w:lineRule="auto"/>
      </w:pPr>
    </w:p>
    <w:p w14:paraId="46E559D3" w14:textId="44FE88DA" w:rsidR="00171D29" w:rsidRDefault="00DF590D" w:rsidP="00EC7E5C">
      <w:pPr>
        <w:spacing w:line="240" w:lineRule="auto"/>
        <w:jc w:val="both"/>
      </w:pPr>
      <w:r>
        <w:rPr>
          <w:noProof/>
          <w14:ligatures w14:val="standardContextual"/>
        </w:rPr>
        <w:drawing>
          <wp:inline distT="0" distB="0" distL="0" distR="0" wp14:anchorId="73D4EBFC" wp14:editId="4A6E05C0">
            <wp:extent cx="3421752" cy="2750820"/>
            <wp:effectExtent l="0" t="0" r="7620" b="0"/>
            <wp:docPr id="1460758299"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58299" name=""/>
                    <pic:cNvPicPr/>
                  </pic:nvPicPr>
                  <pic:blipFill>
                    <a:blip r:embed="rId6">
                      <a:extLst>
                        <a:ext uri="{96DAC541-7B7A-43D3-8B79-37D633B846F1}">
                          <asvg:svgBlip xmlns:asvg="http://schemas.microsoft.com/office/drawing/2016/SVG/main" r:embed="rId7"/>
                        </a:ext>
                      </a:extLst>
                    </a:blip>
                    <a:stretch>
                      <a:fillRect/>
                    </a:stretch>
                  </pic:blipFill>
                  <pic:spPr>
                    <a:xfrm>
                      <a:off x="0" y="0"/>
                      <a:ext cx="3426649" cy="2754756"/>
                    </a:xfrm>
                    <a:prstGeom prst="rect">
                      <a:avLst/>
                    </a:prstGeom>
                  </pic:spPr>
                </pic:pic>
              </a:graphicData>
            </a:graphic>
          </wp:inline>
        </w:drawing>
      </w:r>
    </w:p>
    <w:p w14:paraId="7FB9A693" w14:textId="0571D4C1" w:rsidR="00C141E2" w:rsidRPr="00EC7E5C" w:rsidRDefault="00C141E2" w:rsidP="00EC7E5C">
      <w:pPr>
        <w:spacing w:line="240" w:lineRule="auto"/>
        <w:jc w:val="both"/>
        <w:rPr>
          <w:b/>
          <w:bCs/>
        </w:rPr>
      </w:pPr>
      <w:r w:rsidRPr="00EC7E5C">
        <w:rPr>
          <w:b/>
          <w:bCs/>
        </w:rPr>
        <w:t>Graduatoria regionale secondo la numerosità delle imprese che hanno effettuato eco-investimenti nel periodo 2018–2021 e/o investiranno nel 2022 in prodotti e tecnologie green</w:t>
      </w:r>
      <w:r w:rsidR="00EC7E5C">
        <w:rPr>
          <w:b/>
          <w:bCs/>
        </w:rPr>
        <w:t xml:space="preserve">. </w:t>
      </w:r>
      <w:r w:rsidRPr="00EC7E5C">
        <w:rPr>
          <w:b/>
          <w:bCs/>
        </w:rPr>
        <w:t>Anni 2018-2022, valori assoluti</w:t>
      </w:r>
    </w:p>
    <w:p w14:paraId="63013D07" w14:textId="77777777" w:rsidR="00EC7E5C" w:rsidRPr="009803CC" w:rsidRDefault="00EC7E5C" w:rsidP="00EC7E5C">
      <w:pPr>
        <w:spacing w:after="120" w:line="240" w:lineRule="auto"/>
        <w:rPr>
          <w:rFonts w:eastAsia="Times New Roman" w:cs="Calibri"/>
          <w:color w:val="000000"/>
          <w:sz w:val="18"/>
          <w:szCs w:val="18"/>
          <w:lang w:eastAsia="it-IT"/>
        </w:rPr>
      </w:pPr>
      <w:r w:rsidRPr="009803CC">
        <w:rPr>
          <w:rFonts w:eastAsia="Times New Roman" w:cs="Calibri"/>
          <w:color w:val="000000"/>
          <w:sz w:val="18"/>
          <w:szCs w:val="18"/>
          <w:lang w:eastAsia="it-IT"/>
        </w:rPr>
        <w:t>Fonte: Unioncamere</w:t>
      </w:r>
    </w:p>
    <w:p w14:paraId="50296D01" w14:textId="77777777" w:rsidR="00564D37" w:rsidRDefault="00564D37" w:rsidP="00C141E2">
      <w:pPr>
        <w:spacing w:line="240" w:lineRule="auto"/>
      </w:pPr>
    </w:p>
    <w:p w14:paraId="34578260" w14:textId="2D543A79" w:rsidR="00564D37" w:rsidRDefault="00564D37" w:rsidP="00C141E2">
      <w:pPr>
        <w:spacing w:line="240" w:lineRule="auto"/>
      </w:pPr>
      <w:r w:rsidRPr="00544C56">
        <w:rPr>
          <w:noProof/>
        </w:rPr>
        <w:lastRenderedPageBreak/>
        <w:drawing>
          <wp:inline distT="0" distB="0" distL="0" distR="0" wp14:anchorId="1353F479" wp14:editId="16D6887F">
            <wp:extent cx="2685600" cy="2692800"/>
            <wp:effectExtent l="0" t="0" r="635" b="0"/>
            <wp:docPr id="1002468772"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5600" cy="2692800"/>
                    </a:xfrm>
                    <a:prstGeom prst="rect">
                      <a:avLst/>
                    </a:prstGeom>
                    <a:noFill/>
                    <a:ln>
                      <a:noFill/>
                    </a:ln>
                  </pic:spPr>
                </pic:pic>
              </a:graphicData>
            </a:graphic>
          </wp:inline>
        </w:drawing>
      </w:r>
    </w:p>
    <w:p w14:paraId="305F1F42" w14:textId="77777777" w:rsidR="00564D37" w:rsidRDefault="00564D37" w:rsidP="00C141E2">
      <w:pPr>
        <w:spacing w:line="240" w:lineRule="auto"/>
      </w:pPr>
    </w:p>
    <w:p w14:paraId="2591004F" w14:textId="77777777" w:rsidR="00564D37" w:rsidRDefault="00564D37" w:rsidP="00C141E2">
      <w:pPr>
        <w:spacing w:line="240" w:lineRule="auto"/>
      </w:pPr>
    </w:p>
    <w:p w14:paraId="562ADDD4" w14:textId="77777777" w:rsidR="003A69BF" w:rsidRDefault="003A69BF" w:rsidP="00EC7E5C">
      <w:pPr>
        <w:spacing w:after="0" w:line="240" w:lineRule="auto"/>
        <w:jc w:val="both"/>
        <w:rPr>
          <w:rFonts w:eastAsia="Times New Roman" w:cs="Calibri"/>
          <w:b/>
          <w:bCs/>
          <w:lang w:eastAsia="it-IT"/>
        </w:rPr>
      </w:pPr>
    </w:p>
    <w:p w14:paraId="485A1D3B" w14:textId="77777777" w:rsidR="003A69BF" w:rsidRDefault="003A69BF" w:rsidP="00EC7E5C">
      <w:pPr>
        <w:spacing w:after="0" w:line="240" w:lineRule="auto"/>
        <w:jc w:val="both"/>
        <w:rPr>
          <w:rFonts w:eastAsia="Times New Roman" w:cs="Calibri"/>
          <w:b/>
          <w:bCs/>
          <w:lang w:eastAsia="it-IT"/>
        </w:rPr>
      </w:pPr>
    </w:p>
    <w:p w14:paraId="5A1C7A42" w14:textId="11AC1F58" w:rsidR="00564D37" w:rsidRPr="00EC7E5C" w:rsidRDefault="00564D37" w:rsidP="00EC7E5C">
      <w:pPr>
        <w:spacing w:after="0" w:line="240" w:lineRule="auto"/>
        <w:jc w:val="both"/>
        <w:rPr>
          <w:rFonts w:eastAsia="Times New Roman" w:cs="Calibri"/>
          <w:b/>
          <w:bCs/>
          <w:lang w:eastAsia="it-IT"/>
        </w:rPr>
      </w:pPr>
      <w:r w:rsidRPr="00EC7E5C">
        <w:rPr>
          <w:rFonts w:eastAsia="Times New Roman" w:cs="Calibri"/>
          <w:b/>
          <w:bCs/>
          <w:lang w:eastAsia="it-IT"/>
        </w:rPr>
        <w:t xml:space="preserve">Prime venti province secondo la numerosità assoluta di contratti relativi a green jobs la cui attivazione è prevista dalle imprese nel 2022 e relativa incidenza sul totale delle assunzioni dell'Italia e della provincia </w:t>
      </w:r>
    </w:p>
    <w:p w14:paraId="118B0FF8" w14:textId="77777777" w:rsidR="00564D37" w:rsidRDefault="00564D37" w:rsidP="00EC7E5C">
      <w:pPr>
        <w:spacing w:after="120" w:line="240" w:lineRule="auto"/>
        <w:jc w:val="both"/>
        <w:rPr>
          <w:rFonts w:eastAsia="Times New Roman" w:cs="Calibri"/>
          <w:b/>
          <w:bCs/>
          <w:lang w:eastAsia="it-IT"/>
        </w:rPr>
      </w:pPr>
      <w:r w:rsidRPr="00EC7E5C">
        <w:rPr>
          <w:rFonts w:eastAsia="Times New Roman" w:cs="Calibri"/>
          <w:b/>
          <w:bCs/>
          <w:lang w:eastAsia="it-IT"/>
        </w:rPr>
        <w:t>(valori assoluti e percentuali)</w:t>
      </w:r>
    </w:p>
    <w:p w14:paraId="3F998FAA" w14:textId="77777777" w:rsidR="003A69BF" w:rsidRDefault="003A69BF" w:rsidP="003A69BF">
      <w:pPr>
        <w:spacing w:after="0" w:line="240" w:lineRule="auto"/>
      </w:pPr>
      <w:r>
        <w:rPr>
          <w:rFonts w:eastAsia="Times New Roman" w:cs="Calibri"/>
          <w:color w:val="000000"/>
          <w:sz w:val="18"/>
          <w:szCs w:val="18"/>
          <w:lang w:eastAsia="it-IT"/>
        </w:rPr>
        <w:t>F</w:t>
      </w:r>
      <w:r w:rsidRPr="006A4E0E">
        <w:rPr>
          <w:rFonts w:eastAsia="Times New Roman" w:cs="Calibri"/>
          <w:color w:val="000000"/>
          <w:sz w:val="18"/>
          <w:szCs w:val="18"/>
          <w:lang w:eastAsia="it-IT"/>
        </w:rPr>
        <w:t>onte: Unioncamere</w:t>
      </w:r>
      <w:r>
        <w:rPr>
          <w:rFonts w:eastAsia="Times New Roman" w:cs="Calibri"/>
          <w:color w:val="000000"/>
          <w:sz w:val="18"/>
          <w:szCs w:val="18"/>
          <w:lang w:eastAsia="it-IT"/>
        </w:rPr>
        <w:t xml:space="preserve"> </w:t>
      </w:r>
    </w:p>
    <w:p w14:paraId="26D47502" w14:textId="77777777" w:rsidR="003A69BF" w:rsidRPr="00EC7E5C" w:rsidRDefault="003A69BF" w:rsidP="00EC7E5C">
      <w:pPr>
        <w:spacing w:after="120" w:line="240" w:lineRule="auto"/>
        <w:jc w:val="both"/>
        <w:rPr>
          <w:rFonts w:eastAsia="Times New Roman" w:cs="Calibri"/>
          <w:b/>
          <w:bCs/>
          <w:lang w:eastAsia="it-IT"/>
        </w:rPr>
      </w:pPr>
    </w:p>
    <w:p w14:paraId="0EA92D44" w14:textId="477D91EA" w:rsidR="00564D37" w:rsidRPr="003A69BF" w:rsidRDefault="003A69BF" w:rsidP="003A69BF">
      <w:pPr>
        <w:spacing w:after="120" w:line="240" w:lineRule="auto"/>
        <w:rPr>
          <w:rFonts w:eastAsia="Times New Roman" w:cs="Calibri"/>
          <w:color w:val="000000"/>
          <w:sz w:val="18"/>
          <w:szCs w:val="18"/>
          <w:lang w:eastAsia="it-IT"/>
        </w:rPr>
      </w:pPr>
      <w:r w:rsidRPr="00964E6A">
        <w:rPr>
          <w:noProof/>
        </w:rPr>
        <w:drawing>
          <wp:inline distT="0" distB="0" distL="0" distR="0" wp14:anchorId="4E0A9C78" wp14:editId="08217945">
            <wp:extent cx="2934335" cy="3768725"/>
            <wp:effectExtent l="0" t="0" r="0" b="3175"/>
            <wp:docPr id="102051372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4335" cy="3768725"/>
                    </a:xfrm>
                    <a:prstGeom prst="rect">
                      <a:avLst/>
                    </a:prstGeom>
                    <a:noFill/>
                    <a:ln>
                      <a:noFill/>
                    </a:ln>
                  </pic:spPr>
                </pic:pic>
              </a:graphicData>
            </a:graphic>
          </wp:inline>
        </w:drawing>
      </w:r>
    </w:p>
    <w:p w14:paraId="5643C89F" w14:textId="77777777" w:rsidR="00564D37" w:rsidRDefault="00564D37" w:rsidP="00C141E2">
      <w:pPr>
        <w:spacing w:line="240" w:lineRule="auto"/>
      </w:pPr>
    </w:p>
    <w:p w14:paraId="2BD95266" w14:textId="77777777" w:rsidR="00564D37" w:rsidRDefault="00564D37" w:rsidP="00C141E2">
      <w:pPr>
        <w:spacing w:line="240" w:lineRule="auto"/>
      </w:pPr>
    </w:p>
    <w:p w14:paraId="2BDBBEAE" w14:textId="77777777" w:rsidR="00564D37" w:rsidRDefault="00564D37" w:rsidP="00C141E2">
      <w:pPr>
        <w:spacing w:line="240" w:lineRule="auto"/>
      </w:pPr>
    </w:p>
    <w:p w14:paraId="28D0B232" w14:textId="77777777" w:rsidR="00564D37" w:rsidRDefault="00564D37" w:rsidP="00C141E2">
      <w:pPr>
        <w:spacing w:line="240" w:lineRule="auto"/>
      </w:pPr>
    </w:p>
    <w:p w14:paraId="5F432606" w14:textId="77777777" w:rsidR="00564D37" w:rsidRDefault="00564D37" w:rsidP="00C141E2">
      <w:pPr>
        <w:spacing w:line="240" w:lineRule="auto"/>
      </w:pPr>
    </w:p>
    <w:p w14:paraId="33501C1C" w14:textId="77777777" w:rsidR="00564D37" w:rsidRDefault="00564D37" w:rsidP="00C141E2">
      <w:pPr>
        <w:spacing w:line="240" w:lineRule="auto"/>
      </w:pPr>
    </w:p>
    <w:p w14:paraId="677D812F" w14:textId="77777777" w:rsidR="00564D37" w:rsidRDefault="00564D37" w:rsidP="00C141E2">
      <w:pPr>
        <w:spacing w:line="240" w:lineRule="auto"/>
      </w:pPr>
    </w:p>
    <w:p w14:paraId="10C66B97" w14:textId="77777777" w:rsidR="00564D37" w:rsidRDefault="00564D37" w:rsidP="00C141E2">
      <w:pPr>
        <w:spacing w:line="240" w:lineRule="auto"/>
      </w:pPr>
    </w:p>
    <w:p w14:paraId="0EC1D701" w14:textId="77777777" w:rsidR="00564D37" w:rsidRDefault="00564D37" w:rsidP="00C141E2">
      <w:pPr>
        <w:spacing w:line="240" w:lineRule="auto"/>
      </w:pPr>
    </w:p>
    <w:p w14:paraId="7225CBD6" w14:textId="77777777" w:rsidR="00564D37" w:rsidRDefault="00564D37" w:rsidP="00C141E2">
      <w:pPr>
        <w:spacing w:line="240" w:lineRule="auto"/>
      </w:pPr>
    </w:p>
    <w:p w14:paraId="230CAED8" w14:textId="389C51C3" w:rsidR="00564D37" w:rsidRDefault="00564D37" w:rsidP="00C141E2">
      <w:pPr>
        <w:spacing w:line="240" w:lineRule="auto"/>
      </w:pPr>
      <w:r w:rsidRPr="00B27C3C">
        <w:rPr>
          <w:rFonts w:asciiTheme="minorHAnsi" w:hAnsiTheme="minorHAnsi" w:cstheme="minorHAnsi"/>
          <w:b/>
          <w:bCs/>
          <w:i/>
          <w:iCs/>
          <w:lang w:eastAsia="it-IT"/>
        </w:rPr>
        <w:t>Il rapporto completo su www.symbola.net</w:t>
      </w:r>
    </w:p>
    <w:sectPr w:rsidR="00564D37">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9A172" w14:textId="77777777" w:rsidR="00B6249D" w:rsidRDefault="00B6249D" w:rsidP="00C141E2">
      <w:pPr>
        <w:spacing w:after="0" w:line="240" w:lineRule="auto"/>
      </w:pPr>
      <w:r>
        <w:separator/>
      </w:r>
    </w:p>
  </w:endnote>
  <w:endnote w:type="continuationSeparator" w:id="0">
    <w:p w14:paraId="38869DF8" w14:textId="77777777" w:rsidR="00B6249D" w:rsidRDefault="00B6249D" w:rsidP="00C1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tiv Grotesk Medium">
    <w:altName w:val="Calibri"/>
    <w:charset w:val="00"/>
    <w:family w:val="swiss"/>
    <w:pitch w:val="variable"/>
    <w:sig w:usb0="E100AAFF" w:usb1="D000FFFB" w:usb2="00000028" w:usb3="00000000" w:csb0="000101FF" w:csb1="00000000"/>
  </w:font>
  <w:font w:name="Aktiv Grotes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tivGroteskCorp-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534128"/>
      <w:docPartObj>
        <w:docPartGallery w:val="Page Numbers (Bottom of Page)"/>
        <w:docPartUnique/>
      </w:docPartObj>
    </w:sdtPr>
    <w:sdtContent>
      <w:p w14:paraId="3DCFC076" w14:textId="712ECAF4" w:rsidR="00C141E2" w:rsidRDefault="00C141E2">
        <w:pPr>
          <w:pStyle w:val="Pidipagina"/>
          <w:jc w:val="right"/>
        </w:pPr>
        <w:r>
          <w:fldChar w:fldCharType="begin"/>
        </w:r>
        <w:r>
          <w:instrText>PAGE   \* MERGEFORMAT</w:instrText>
        </w:r>
        <w:r>
          <w:fldChar w:fldCharType="separate"/>
        </w:r>
        <w:r>
          <w:t>2</w:t>
        </w:r>
        <w:r>
          <w:fldChar w:fldCharType="end"/>
        </w:r>
      </w:p>
    </w:sdtContent>
  </w:sdt>
  <w:p w14:paraId="789F348C" w14:textId="45341D31" w:rsidR="00C141E2" w:rsidRDefault="00C141E2">
    <w:pPr>
      <w:pStyle w:val="Pidipagina"/>
    </w:pPr>
  </w:p>
  <w:p w14:paraId="283270ED" w14:textId="2B2CF1E8" w:rsidR="009C74F3" w:rsidRDefault="009C74F3">
    <w:pPr>
      <w:pStyle w:val="Pidipagina"/>
    </w:pPr>
    <w:r>
      <w:rPr>
        <w:noProof/>
        <w14:ligatures w14:val="standardContextual"/>
      </w:rPr>
      <w:drawing>
        <wp:anchor distT="0" distB="0" distL="114300" distR="114300" simplePos="0" relativeHeight="251658240" behindDoc="1" locked="0" layoutInCell="1" allowOverlap="1" wp14:anchorId="77D7A17C" wp14:editId="76492BDE">
          <wp:simplePos x="0" y="0"/>
          <wp:positionH relativeFrom="margin">
            <wp:align>right</wp:align>
          </wp:positionH>
          <wp:positionV relativeFrom="paragraph">
            <wp:posOffset>5080</wp:posOffset>
          </wp:positionV>
          <wp:extent cx="6120130" cy="53594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120130" cy="535940"/>
                  </a:xfrm>
                  <a:prstGeom prst="rect">
                    <a:avLst/>
                  </a:prstGeom>
                </pic:spPr>
              </pic:pic>
            </a:graphicData>
          </a:graphic>
          <wp14:sizeRelH relativeFrom="page">
            <wp14:pctWidth>0</wp14:pctWidth>
          </wp14:sizeRelH>
          <wp14:sizeRelV relativeFrom="page">
            <wp14:pctHeight>0</wp14:pctHeight>
          </wp14:sizeRelV>
        </wp:anchor>
      </w:drawing>
    </w:r>
  </w:p>
  <w:p w14:paraId="46367A8E" w14:textId="77777777" w:rsidR="009C74F3" w:rsidRDefault="009C74F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D59E1" w14:textId="77777777" w:rsidR="00B6249D" w:rsidRDefault="00B6249D" w:rsidP="00C141E2">
      <w:pPr>
        <w:spacing w:after="0" w:line="240" w:lineRule="auto"/>
      </w:pPr>
      <w:r>
        <w:separator/>
      </w:r>
    </w:p>
  </w:footnote>
  <w:footnote w:type="continuationSeparator" w:id="0">
    <w:p w14:paraId="7207F73F" w14:textId="77777777" w:rsidR="00B6249D" w:rsidRDefault="00B6249D" w:rsidP="00C1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4591" w14:textId="628DB833" w:rsidR="009C74F3" w:rsidRDefault="009C74F3" w:rsidP="009C74F3">
    <w:pPr>
      <w:pStyle w:val="Intestazione"/>
      <w:tabs>
        <w:tab w:val="clear" w:pos="4819"/>
      </w:tabs>
    </w:pPr>
    <w:r>
      <w:rPr>
        <w:noProof/>
        <w14:ligatures w14:val="standardContextual"/>
      </w:rPr>
      <w:drawing>
        <wp:anchor distT="0" distB="0" distL="114300" distR="114300" simplePos="0" relativeHeight="251659264" behindDoc="1" locked="0" layoutInCell="1" allowOverlap="1" wp14:anchorId="1BBF859F" wp14:editId="290C8224">
          <wp:simplePos x="0" y="0"/>
          <wp:positionH relativeFrom="margin">
            <wp:align>right</wp:align>
          </wp:positionH>
          <wp:positionV relativeFrom="paragraph">
            <wp:posOffset>-182880</wp:posOffset>
          </wp:positionV>
          <wp:extent cx="1503680" cy="536974"/>
          <wp:effectExtent l="0" t="0" r="127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1503680" cy="536974"/>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60288" behindDoc="1" locked="0" layoutInCell="1" allowOverlap="1" wp14:anchorId="6AD68367" wp14:editId="1CF5DC8B">
          <wp:simplePos x="0" y="0"/>
          <wp:positionH relativeFrom="margin">
            <wp:align>left</wp:align>
          </wp:positionH>
          <wp:positionV relativeFrom="paragraph">
            <wp:posOffset>-195580</wp:posOffset>
          </wp:positionV>
          <wp:extent cx="2483177" cy="5207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2483177" cy="520700"/>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p>
  <w:p w14:paraId="39741E60" w14:textId="77777777" w:rsidR="009C74F3" w:rsidRDefault="009C74F3" w:rsidP="009C74F3">
    <w:pPr>
      <w:pStyle w:val="Intestazione"/>
      <w:tabs>
        <w:tab w:val="clear" w:pos="4819"/>
      </w:tabs>
    </w:pPr>
  </w:p>
  <w:p w14:paraId="0BD094FE" w14:textId="77777777" w:rsidR="009C74F3" w:rsidRDefault="009C74F3" w:rsidP="009C74F3">
    <w:pPr>
      <w:pStyle w:val="Intestazione"/>
      <w:tabs>
        <w:tab w:val="clear" w:pos="4819"/>
      </w:tabs>
    </w:pPr>
  </w:p>
  <w:p w14:paraId="37749615" w14:textId="77777777" w:rsidR="009C74F3" w:rsidRDefault="009C74F3" w:rsidP="009C74F3">
    <w:pPr>
      <w:pStyle w:val="Intestazione"/>
      <w:tabs>
        <w:tab w:val="clear" w:pos="481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4D"/>
    <w:rsid w:val="0000156D"/>
    <w:rsid w:val="0000408E"/>
    <w:rsid w:val="00012A91"/>
    <w:rsid w:val="00050886"/>
    <w:rsid w:val="0006787D"/>
    <w:rsid w:val="00084AA3"/>
    <w:rsid w:val="00097CC2"/>
    <w:rsid w:val="000D6A4B"/>
    <w:rsid w:val="000E20FF"/>
    <w:rsid w:val="00134787"/>
    <w:rsid w:val="00144FC2"/>
    <w:rsid w:val="0016378B"/>
    <w:rsid w:val="001706FC"/>
    <w:rsid w:val="00171D29"/>
    <w:rsid w:val="001B2C99"/>
    <w:rsid w:val="001B3070"/>
    <w:rsid w:val="001B34CA"/>
    <w:rsid w:val="001F18C5"/>
    <w:rsid w:val="002152C6"/>
    <w:rsid w:val="0025165F"/>
    <w:rsid w:val="00253480"/>
    <w:rsid w:val="002642AB"/>
    <w:rsid w:val="00264579"/>
    <w:rsid w:val="00267BA8"/>
    <w:rsid w:val="002B20DC"/>
    <w:rsid w:val="002C6842"/>
    <w:rsid w:val="00320C92"/>
    <w:rsid w:val="00333CA6"/>
    <w:rsid w:val="00342AC5"/>
    <w:rsid w:val="003444AE"/>
    <w:rsid w:val="0035276B"/>
    <w:rsid w:val="00354D88"/>
    <w:rsid w:val="00361D1A"/>
    <w:rsid w:val="003A02BA"/>
    <w:rsid w:val="003A20D5"/>
    <w:rsid w:val="003A69BF"/>
    <w:rsid w:val="003D659B"/>
    <w:rsid w:val="00414B6C"/>
    <w:rsid w:val="00460B0C"/>
    <w:rsid w:val="00463008"/>
    <w:rsid w:val="004762C7"/>
    <w:rsid w:val="00496C36"/>
    <w:rsid w:val="004A03D1"/>
    <w:rsid w:val="004A3BA4"/>
    <w:rsid w:val="004D19C4"/>
    <w:rsid w:val="004D54E3"/>
    <w:rsid w:val="005138B6"/>
    <w:rsid w:val="00540A24"/>
    <w:rsid w:val="00542DCC"/>
    <w:rsid w:val="00564D37"/>
    <w:rsid w:val="00567B3F"/>
    <w:rsid w:val="005D25BE"/>
    <w:rsid w:val="005E3D75"/>
    <w:rsid w:val="005F6FA9"/>
    <w:rsid w:val="00642909"/>
    <w:rsid w:val="00655696"/>
    <w:rsid w:val="006A4DEE"/>
    <w:rsid w:val="006B4FD0"/>
    <w:rsid w:val="006E28EF"/>
    <w:rsid w:val="006E322C"/>
    <w:rsid w:val="00745599"/>
    <w:rsid w:val="00752DAB"/>
    <w:rsid w:val="007A0C55"/>
    <w:rsid w:val="007A3434"/>
    <w:rsid w:val="007A654F"/>
    <w:rsid w:val="007B0D60"/>
    <w:rsid w:val="007B1E66"/>
    <w:rsid w:val="007B29F6"/>
    <w:rsid w:val="007B4F7D"/>
    <w:rsid w:val="007D6525"/>
    <w:rsid w:val="007E21AD"/>
    <w:rsid w:val="00823393"/>
    <w:rsid w:val="008414AD"/>
    <w:rsid w:val="0085120F"/>
    <w:rsid w:val="008717F2"/>
    <w:rsid w:val="00894AC6"/>
    <w:rsid w:val="008B2C87"/>
    <w:rsid w:val="008B302E"/>
    <w:rsid w:val="008F059A"/>
    <w:rsid w:val="00905D4B"/>
    <w:rsid w:val="00906427"/>
    <w:rsid w:val="00912353"/>
    <w:rsid w:val="00956508"/>
    <w:rsid w:val="009844A6"/>
    <w:rsid w:val="009A2C94"/>
    <w:rsid w:val="009B6F86"/>
    <w:rsid w:val="009C35F3"/>
    <w:rsid w:val="009C74F3"/>
    <w:rsid w:val="00A0127F"/>
    <w:rsid w:val="00A14736"/>
    <w:rsid w:val="00A548F2"/>
    <w:rsid w:val="00A63611"/>
    <w:rsid w:val="00A86825"/>
    <w:rsid w:val="00AD0ED0"/>
    <w:rsid w:val="00B34009"/>
    <w:rsid w:val="00B40784"/>
    <w:rsid w:val="00B6249D"/>
    <w:rsid w:val="00B64D60"/>
    <w:rsid w:val="00B72616"/>
    <w:rsid w:val="00B7282B"/>
    <w:rsid w:val="00B7328E"/>
    <w:rsid w:val="00B73727"/>
    <w:rsid w:val="00B821EB"/>
    <w:rsid w:val="00BD6EF4"/>
    <w:rsid w:val="00C036F9"/>
    <w:rsid w:val="00C141E2"/>
    <w:rsid w:val="00C4326A"/>
    <w:rsid w:val="00C475C2"/>
    <w:rsid w:val="00C51D5C"/>
    <w:rsid w:val="00C6021B"/>
    <w:rsid w:val="00C764B0"/>
    <w:rsid w:val="00C825FF"/>
    <w:rsid w:val="00CA0825"/>
    <w:rsid w:val="00CD0752"/>
    <w:rsid w:val="00CD3D21"/>
    <w:rsid w:val="00CE26D8"/>
    <w:rsid w:val="00CE369E"/>
    <w:rsid w:val="00D0244D"/>
    <w:rsid w:val="00D232BE"/>
    <w:rsid w:val="00D375D3"/>
    <w:rsid w:val="00DE0309"/>
    <w:rsid w:val="00DE1763"/>
    <w:rsid w:val="00DF590D"/>
    <w:rsid w:val="00E0179D"/>
    <w:rsid w:val="00E448A7"/>
    <w:rsid w:val="00E51010"/>
    <w:rsid w:val="00E60E61"/>
    <w:rsid w:val="00E7601A"/>
    <w:rsid w:val="00EA2035"/>
    <w:rsid w:val="00EA58AB"/>
    <w:rsid w:val="00EC1387"/>
    <w:rsid w:val="00EC7E5C"/>
    <w:rsid w:val="00EF531B"/>
    <w:rsid w:val="00F26833"/>
    <w:rsid w:val="00F36386"/>
    <w:rsid w:val="00FB2A2B"/>
    <w:rsid w:val="00FE5863"/>
    <w:rsid w:val="00FE75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8D6F0"/>
  <w15:chartTrackingRefBased/>
  <w15:docId w15:val="{D9D72FFA-B451-4089-91B5-6D130D45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4736"/>
    <w:rPr>
      <w:rFonts w:ascii="Calibri" w:eastAsia="Calibri" w:hAnsi="Calibri" w:cs="Times New Roman"/>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41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41E2"/>
    <w:rPr>
      <w:rFonts w:ascii="Calibri" w:eastAsia="Calibri" w:hAnsi="Calibri" w:cs="Times New Roman"/>
      <w:kern w:val="0"/>
      <w14:ligatures w14:val="none"/>
    </w:rPr>
  </w:style>
  <w:style w:type="paragraph" w:styleId="Pidipagina">
    <w:name w:val="footer"/>
    <w:basedOn w:val="Normale"/>
    <w:link w:val="PidipaginaCarattere"/>
    <w:uiPriority w:val="99"/>
    <w:unhideWhenUsed/>
    <w:rsid w:val="00C141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41E2"/>
    <w:rPr>
      <w:rFonts w:ascii="Calibri" w:eastAsia="Calibri" w:hAnsi="Calibri" w:cs="Times New Roman"/>
      <w:kern w:val="0"/>
      <w14:ligatures w14:val="none"/>
    </w:rPr>
  </w:style>
  <w:style w:type="paragraph" w:customStyle="1" w:styleId="Default">
    <w:name w:val="Default"/>
    <w:rsid w:val="00894AC6"/>
    <w:pPr>
      <w:autoSpaceDE w:val="0"/>
      <w:autoSpaceDN w:val="0"/>
      <w:adjustRightInd w:val="0"/>
      <w:spacing w:after="0" w:line="240" w:lineRule="auto"/>
    </w:pPr>
    <w:rPr>
      <w:rFonts w:ascii="Aktiv Grotesk Medium" w:hAnsi="Aktiv Grotesk Medium" w:cs="Aktiv Grotesk Medium"/>
      <w:color w:val="000000"/>
      <w:kern w:val="0"/>
      <w:sz w:val="24"/>
      <w:szCs w:val="24"/>
    </w:rPr>
  </w:style>
  <w:style w:type="paragraph" w:customStyle="1" w:styleId="Pa0">
    <w:name w:val="Pa0"/>
    <w:basedOn w:val="Default"/>
    <w:next w:val="Default"/>
    <w:uiPriority w:val="99"/>
    <w:rsid w:val="00894AC6"/>
    <w:pPr>
      <w:spacing w:line="241" w:lineRule="atLeast"/>
    </w:pPr>
    <w:rPr>
      <w:rFonts w:cstheme="minorBidi"/>
      <w:color w:val="auto"/>
    </w:rPr>
  </w:style>
  <w:style w:type="character" w:customStyle="1" w:styleId="A0">
    <w:name w:val="A0"/>
    <w:uiPriority w:val="99"/>
    <w:rsid w:val="00894AC6"/>
    <w:rPr>
      <w:rFonts w:cs="Aktiv Grotesk Medium"/>
      <w:color w:val="000000"/>
      <w:sz w:val="29"/>
      <w:szCs w:val="29"/>
    </w:rPr>
  </w:style>
  <w:style w:type="character" w:customStyle="1" w:styleId="A1">
    <w:name w:val="A1"/>
    <w:uiPriority w:val="99"/>
    <w:rsid w:val="00894AC6"/>
    <w:rPr>
      <w:rFonts w:cs="Aktiv Grotesk Medium"/>
      <w:color w:val="000000"/>
      <w:sz w:val="35"/>
      <w:szCs w:val="35"/>
    </w:rPr>
  </w:style>
  <w:style w:type="character" w:customStyle="1" w:styleId="A2">
    <w:name w:val="A2"/>
    <w:uiPriority w:val="99"/>
    <w:rsid w:val="00894AC6"/>
    <w:rPr>
      <w:rFonts w:ascii="Aktiv Grotesk" w:hAnsi="Aktiv Grotesk" w:cs="Aktiv Grotesk"/>
      <w:color w:val="000000"/>
      <w:sz w:val="28"/>
      <w:szCs w:val="28"/>
    </w:rPr>
  </w:style>
  <w:style w:type="paragraph" w:styleId="Testonotaapidipagina">
    <w:name w:val="footnote text"/>
    <w:aliases w:val="Char,Footnote Text Char1,Footnote Text Char Char,Footnote,Footnote1,Footnote2,Footnote3,Footnote4,Footnote5,Footnote6,Footnote7,Footnote8,Footnote9,Footnote10,Footnote11,Footnote21,Footnote31,Footnote41,Footnote51,Footnote61"/>
    <w:basedOn w:val="Normale"/>
    <w:link w:val="TestonotaapidipaginaCarattere"/>
    <w:uiPriority w:val="99"/>
    <w:unhideWhenUsed/>
    <w:qFormat/>
    <w:rsid w:val="004D54E3"/>
    <w:pPr>
      <w:spacing w:after="0" w:line="240" w:lineRule="auto"/>
    </w:pPr>
    <w:rPr>
      <w:rFonts w:asciiTheme="minorHAnsi" w:eastAsiaTheme="minorHAnsi" w:hAnsiTheme="minorHAnsi" w:cstheme="minorBidi"/>
      <w:sz w:val="20"/>
      <w:szCs w:val="20"/>
    </w:rPr>
  </w:style>
  <w:style w:type="character" w:customStyle="1" w:styleId="TestonotaapidipaginaCarattere">
    <w:name w:val="Testo nota a piè di pagina Carattere"/>
    <w:aliases w:val="Char Carattere,Footnote Text Char1 Carattere,Footnote Text Char Char Carattere,Footnote Carattere,Footnote1 Carattere,Footnote2 Carattere,Footnote3 Carattere,Footnote4 Carattere,Footnote5 Carattere"/>
    <w:basedOn w:val="Carpredefinitoparagrafo"/>
    <w:link w:val="Testonotaapidipagina"/>
    <w:uiPriority w:val="99"/>
    <w:rsid w:val="004D54E3"/>
    <w:rPr>
      <w:kern w:val="0"/>
      <w:sz w:val="20"/>
      <w:szCs w:val="20"/>
      <w14:ligatures w14:val="none"/>
    </w:rPr>
  </w:style>
  <w:style w:type="character" w:styleId="Rimandonotaapidipagina">
    <w:name w:val="footnote reference"/>
    <w:aliases w:val="Footnote number,SUPERS,DNV-FR,Footnote symbol,Rimando nota a piè di pagina-IMONT,Voetnootverwijzing,EN Footnote Reference,-E Fuﬂnotenzeichen,-E Fuûnotenzeichen,-E Fußnotenzeichen"/>
    <w:basedOn w:val="Carpredefinitoparagrafo"/>
    <w:uiPriority w:val="99"/>
    <w:unhideWhenUsed/>
    <w:rsid w:val="004D54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441</TotalTime>
  <Pages>7</Pages>
  <Words>1918</Words>
  <Characters>10936</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Collaboratore</dc:creator>
  <cp:keywords/>
  <dc:description/>
  <cp:lastModifiedBy>Collaboratore</cp:lastModifiedBy>
  <cp:revision>97</cp:revision>
  <cp:lastPrinted>2023-10-23T10:33:00Z</cp:lastPrinted>
  <dcterms:created xsi:type="dcterms:W3CDTF">2023-09-20T09:00:00Z</dcterms:created>
  <dcterms:modified xsi:type="dcterms:W3CDTF">2023-10-26T11:44:00Z</dcterms:modified>
</cp:coreProperties>
</file>