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C1DC4" w14:textId="79BF10DA" w:rsidR="00722551" w:rsidRPr="00722551" w:rsidRDefault="00436297" w:rsidP="00436297">
      <w:pPr>
        <w:pStyle w:val="Titolo1"/>
        <w:jc w:val="center"/>
      </w:pPr>
      <w:r>
        <w:rPr>
          <w:noProof/>
        </w:rPr>
        <w:drawing>
          <wp:inline distT="0" distB="0" distL="0" distR="0" wp14:anchorId="31F671BC" wp14:editId="5675FA8F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56D05" w14:textId="77777777"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39E437E7" w14:textId="77777777" w:rsidR="00FD0D29" w:rsidRDefault="00FD0D29" w:rsidP="00C9125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B4E4920" w14:textId="77777777" w:rsidR="00C35184" w:rsidRDefault="00C35184" w:rsidP="00C3518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RELAZIONE SULL’ATTUAZIONE</w:t>
      </w:r>
    </w:p>
    <w:p w14:paraId="35584A89" w14:textId="001ED3D1" w:rsidR="00C35184" w:rsidRDefault="00C35184" w:rsidP="00C3518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 xml:space="preserve">DEL PIANO DI RAZIONALIZZAZIONE </w:t>
      </w:r>
      <w:r w:rsidRPr="00542AEF">
        <w:rPr>
          <w:rFonts w:ascii="Calibri" w:hAnsi="Calibri"/>
          <w:b/>
          <w:iCs/>
          <w:color w:val="1F497D"/>
          <w:sz w:val="50"/>
          <w:szCs w:val="50"/>
        </w:rPr>
        <w:t>DELLE PARTECIPAZIONI</w:t>
      </w:r>
      <w:r>
        <w:rPr>
          <w:rFonts w:ascii="Calibri" w:hAnsi="Calibri"/>
          <w:b/>
          <w:iCs/>
          <w:color w:val="1F497D"/>
          <w:sz w:val="50"/>
          <w:szCs w:val="50"/>
        </w:rPr>
        <w:t xml:space="preserve"> 202</w:t>
      </w:r>
      <w:r w:rsidR="00C159A7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173031A1" w14:textId="77777777" w:rsidR="00C35184" w:rsidRDefault="00C35184" w:rsidP="00C35184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(</w:t>
      </w:r>
      <w:r w:rsidRPr="00542AEF">
        <w:rPr>
          <w:rFonts w:ascii="Calibri" w:hAnsi="Calibri"/>
          <w:b/>
          <w:i/>
          <w:iCs/>
          <w:color w:val="1F497D"/>
          <w:sz w:val="50"/>
          <w:szCs w:val="50"/>
        </w:rPr>
        <w:t>Art.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Pr="00542AEF">
        <w:rPr>
          <w:rFonts w:ascii="Calibri" w:hAnsi="Calibri"/>
          <w:b/>
          <w:i/>
          <w:iCs/>
          <w:color w:val="1F497D"/>
          <w:sz w:val="50"/>
          <w:szCs w:val="50"/>
        </w:rPr>
        <w:t>20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>, c. 4,</w:t>
      </w:r>
      <w:r w:rsidRPr="00542AEF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>)</w:t>
      </w:r>
    </w:p>
    <w:p w14:paraId="2EECA862" w14:textId="77777777" w:rsidR="00C35184" w:rsidRDefault="00C35184" w:rsidP="00C35184"/>
    <w:p w14:paraId="48048899" w14:textId="77777777" w:rsidR="00C35184" w:rsidRDefault="00C35184" w:rsidP="00C35184"/>
    <w:p w14:paraId="70F93CFB" w14:textId="77777777" w:rsidR="00C35184" w:rsidRDefault="00C35184" w:rsidP="00C35184">
      <w:pPr>
        <w:tabs>
          <w:tab w:val="left" w:pos="3119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24A55C80" w14:textId="77777777" w:rsidR="00C35184" w:rsidRDefault="00C35184" w:rsidP="00C3518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6DA62F4" w14:textId="064D0078" w:rsidR="00C35184" w:rsidRPr="00BC5F55" w:rsidRDefault="00C35184" w:rsidP="00C35184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t>Novembre 2024</w:t>
      </w:r>
    </w:p>
    <w:p w14:paraId="58EA1603" w14:textId="77777777" w:rsidR="00C91254" w:rsidRDefault="00C91254" w:rsidP="00C91254">
      <w:r>
        <w:br w:type="page"/>
      </w:r>
    </w:p>
    <w:p w14:paraId="4C12DD0B" w14:textId="0D8FEB2D" w:rsidR="00C159A7" w:rsidRPr="00B934C9" w:rsidRDefault="00C159A7" w:rsidP="00C159A7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 w:rsidRPr="00B934C9">
        <w:rPr>
          <w:rFonts w:cstheme="minorHAnsi"/>
          <w:color w:val="244062"/>
          <w:sz w:val="24"/>
          <w:szCs w:val="24"/>
        </w:rPr>
        <w:lastRenderedPageBreak/>
        <w:t>Di seguito si riporta</w:t>
      </w:r>
      <w:r>
        <w:rPr>
          <w:rFonts w:cstheme="minorHAnsi"/>
          <w:color w:val="244062"/>
          <w:sz w:val="24"/>
          <w:szCs w:val="24"/>
        </w:rPr>
        <w:t xml:space="preserve"> </w:t>
      </w:r>
      <w:r w:rsidRPr="00B934C9">
        <w:rPr>
          <w:rFonts w:cstheme="minorHAnsi"/>
          <w:color w:val="244062"/>
          <w:sz w:val="24"/>
          <w:szCs w:val="24"/>
        </w:rPr>
        <w:t>lo stato di attuazione de</w:t>
      </w:r>
      <w:r>
        <w:rPr>
          <w:rFonts w:cstheme="minorHAnsi"/>
          <w:color w:val="244062"/>
          <w:sz w:val="24"/>
          <w:szCs w:val="24"/>
        </w:rPr>
        <w:t>l</w:t>
      </w:r>
      <w:r w:rsidRPr="00B934C9">
        <w:rPr>
          <w:rFonts w:cstheme="minorHAnsi"/>
          <w:color w:val="244062"/>
          <w:sz w:val="24"/>
          <w:szCs w:val="24"/>
        </w:rPr>
        <w:t xml:space="preserve"> </w:t>
      </w:r>
      <w:r>
        <w:rPr>
          <w:rFonts w:cstheme="minorHAnsi"/>
          <w:color w:val="244062"/>
          <w:sz w:val="24"/>
          <w:szCs w:val="24"/>
        </w:rPr>
        <w:t>P</w:t>
      </w:r>
      <w:r w:rsidRPr="00B934C9">
        <w:rPr>
          <w:rFonts w:cstheme="minorHAnsi"/>
          <w:color w:val="244062"/>
          <w:sz w:val="24"/>
          <w:szCs w:val="24"/>
        </w:rPr>
        <w:t>ian</w:t>
      </w:r>
      <w:r>
        <w:rPr>
          <w:rFonts w:cstheme="minorHAnsi"/>
          <w:color w:val="244062"/>
          <w:sz w:val="24"/>
          <w:szCs w:val="24"/>
        </w:rPr>
        <w:t>o</w:t>
      </w:r>
      <w:r w:rsidRPr="00B934C9">
        <w:rPr>
          <w:rFonts w:cstheme="minorHAnsi"/>
          <w:color w:val="244062"/>
          <w:sz w:val="24"/>
          <w:szCs w:val="24"/>
        </w:rPr>
        <w:t xml:space="preserve"> di </w:t>
      </w:r>
      <w:r w:rsidRPr="00A348B5">
        <w:rPr>
          <w:rFonts w:cstheme="minorHAnsi"/>
          <w:color w:val="244062"/>
          <w:sz w:val="24"/>
          <w:szCs w:val="24"/>
        </w:rPr>
        <w:t xml:space="preserve">razionalizzazione redatto e approvato da Unioncamere Italiana nel </w:t>
      </w:r>
      <w:r>
        <w:rPr>
          <w:rFonts w:cstheme="minorHAnsi"/>
          <w:color w:val="244062"/>
          <w:sz w:val="24"/>
          <w:szCs w:val="24"/>
        </w:rPr>
        <w:t>novembre</w:t>
      </w:r>
      <w:r w:rsidRPr="00A348B5">
        <w:rPr>
          <w:rFonts w:cstheme="minorHAnsi"/>
          <w:color w:val="244062"/>
          <w:sz w:val="24"/>
          <w:szCs w:val="24"/>
        </w:rPr>
        <w:t xml:space="preserve"> 202</w:t>
      </w:r>
      <w:r>
        <w:rPr>
          <w:rFonts w:cstheme="minorHAnsi"/>
          <w:color w:val="244062"/>
          <w:sz w:val="24"/>
          <w:szCs w:val="24"/>
        </w:rPr>
        <w:t>3</w:t>
      </w:r>
      <w:r w:rsidRPr="00A348B5">
        <w:rPr>
          <w:rFonts w:cstheme="minorHAnsi"/>
          <w:color w:val="244062"/>
          <w:sz w:val="24"/>
          <w:szCs w:val="24"/>
        </w:rPr>
        <w:t>, con dati riferiti alla situazione partecipativa del 31/12/202</w:t>
      </w:r>
      <w:r>
        <w:rPr>
          <w:rFonts w:cstheme="minorHAnsi"/>
          <w:color w:val="244062"/>
          <w:sz w:val="24"/>
          <w:szCs w:val="24"/>
        </w:rPr>
        <w:t>2</w:t>
      </w:r>
      <w:r w:rsidRPr="00A348B5">
        <w:rPr>
          <w:rFonts w:cstheme="minorHAnsi"/>
          <w:color w:val="244062"/>
          <w:sz w:val="24"/>
          <w:szCs w:val="24"/>
        </w:rPr>
        <w:t>.</w:t>
      </w:r>
    </w:p>
    <w:p w14:paraId="0AB6CD7C" w14:textId="370738C6" w:rsidR="00C159A7" w:rsidRDefault="00C159A7" w:rsidP="00C159A7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>
        <w:rPr>
          <w:rFonts w:cstheme="minorHAnsi"/>
          <w:color w:val="244062"/>
          <w:sz w:val="24"/>
          <w:szCs w:val="24"/>
        </w:rPr>
        <w:t xml:space="preserve">Secondo le indicazioni del MEF, si rende necessario redigere le schede con le relative informazioni </w:t>
      </w:r>
      <w:r w:rsidRPr="003E2D22">
        <w:rPr>
          <w:rFonts w:cstheme="minorHAnsi"/>
          <w:color w:val="244062"/>
          <w:sz w:val="24"/>
          <w:szCs w:val="24"/>
        </w:rPr>
        <w:t xml:space="preserve">per le </w:t>
      </w:r>
      <w:r w:rsidRPr="003E2D22">
        <w:rPr>
          <w:rFonts w:cstheme="minorHAnsi"/>
          <w:color w:val="244062"/>
          <w:sz w:val="24"/>
          <w:szCs w:val="24"/>
          <w:u w:val="single"/>
        </w:rPr>
        <w:t>partecipazioni dirette</w:t>
      </w:r>
      <w:r w:rsidRPr="00B934C9">
        <w:rPr>
          <w:rFonts w:cstheme="minorHAnsi"/>
          <w:color w:val="244062"/>
          <w:sz w:val="24"/>
          <w:szCs w:val="24"/>
        </w:rPr>
        <w:t xml:space="preserve"> non più detenute al 31/12/202</w:t>
      </w:r>
      <w:r>
        <w:rPr>
          <w:rFonts w:cstheme="minorHAnsi"/>
          <w:color w:val="244062"/>
          <w:sz w:val="24"/>
          <w:szCs w:val="24"/>
        </w:rPr>
        <w:t>3</w:t>
      </w:r>
      <w:r w:rsidRPr="00B934C9">
        <w:rPr>
          <w:rFonts w:cstheme="minorHAnsi"/>
          <w:color w:val="244062"/>
          <w:sz w:val="24"/>
          <w:szCs w:val="24"/>
        </w:rPr>
        <w:t xml:space="preserve"> o alla data di adozione del provvedimento,</w:t>
      </w:r>
      <w:r>
        <w:rPr>
          <w:rFonts w:cstheme="minorHAnsi"/>
          <w:color w:val="244062"/>
          <w:sz w:val="24"/>
          <w:szCs w:val="24"/>
        </w:rPr>
        <w:t xml:space="preserve"> nonché per</w:t>
      </w:r>
      <w:r w:rsidRPr="00B934C9">
        <w:rPr>
          <w:rFonts w:cstheme="minorHAnsi"/>
          <w:color w:val="244062"/>
          <w:sz w:val="24"/>
          <w:szCs w:val="24"/>
        </w:rPr>
        <w:t xml:space="preserve"> le </w:t>
      </w:r>
      <w:r w:rsidRPr="003E2D22">
        <w:rPr>
          <w:rFonts w:cstheme="minorHAnsi"/>
          <w:color w:val="244062"/>
          <w:sz w:val="24"/>
          <w:szCs w:val="24"/>
          <w:u w:val="single"/>
        </w:rPr>
        <w:t>partecipazioni dirette</w:t>
      </w:r>
      <w:r w:rsidRPr="00B934C9">
        <w:rPr>
          <w:rFonts w:cstheme="minorHAnsi"/>
          <w:color w:val="244062"/>
          <w:sz w:val="24"/>
          <w:szCs w:val="24"/>
        </w:rPr>
        <w:t xml:space="preserve"> detenute alla data del 31/12/202</w:t>
      </w:r>
      <w:r>
        <w:rPr>
          <w:rFonts w:cstheme="minorHAnsi"/>
          <w:color w:val="244062"/>
          <w:sz w:val="24"/>
          <w:szCs w:val="24"/>
        </w:rPr>
        <w:t>3</w:t>
      </w:r>
      <w:r w:rsidRPr="00B934C9">
        <w:rPr>
          <w:rFonts w:cstheme="minorHAnsi"/>
          <w:color w:val="244062"/>
          <w:sz w:val="24"/>
          <w:szCs w:val="24"/>
        </w:rPr>
        <w:t xml:space="preserve"> e ancora detenute alla data di adozione del provvedimento di razionalizzazione, per le quali nel precedente piano era stata indicata una misura di razionalizzazione</w:t>
      </w:r>
      <w:r>
        <w:rPr>
          <w:rFonts w:cstheme="minorHAnsi"/>
          <w:color w:val="244062"/>
          <w:sz w:val="24"/>
          <w:szCs w:val="24"/>
        </w:rPr>
        <w:t xml:space="preserve">. </w:t>
      </w:r>
    </w:p>
    <w:p w14:paraId="21F5C366" w14:textId="7BC3864E" w:rsidR="00921288" w:rsidRDefault="00C159A7" w:rsidP="00C159A7">
      <w:pPr>
        <w:spacing w:line="360" w:lineRule="auto"/>
        <w:jc w:val="both"/>
        <w:rPr>
          <w:rFonts w:cstheme="minorHAnsi"/>
          <w:color w:val="244062"/>
          <w:sz w:val="24"/>
          <w:szCs w:val="24"/>
        </w:rPr>
      </w:pPr>
      <w:r>
        <w:rPr>
          <w:rFonts w:cstheme="minorHAnsi"/>
          <w:color w:val="244062"/>
          <w:sz w:val="24"/>
          <w:szCs w:val="24"/>
        </w:rPr>
        <w:t>Nel Piano redatto e adottato a fine 2023, Unioncamere italiana aveva predisposto per le sue partecipazioni dirette una misura di razionalizzazione solamente per la società Tecno Holding.</w:t>
      </w:r>
    </w:p>
    <w:p w14:paraId="17044C8F" w14:textId="77777777" w:rsidR="00921288" w:rsidRDefault="00921288">
      <w:pPr>
        <w:rPr>
          <w:rFonts w:cstheme="minorHAnsi"/>
          <w:color w:val="244062"/>
          <w:sz w:val="24"/>
          <w:szCs w:val="24"/>
        </w:rPr>
      </w:pPr>
      <w:r>
        <w:rPr>
          <w:rFonts w:cstheme="minorHAnsi"/>
          <w:color w:val="244062"/>
          <w:sz w:val="24"/>
          <w:szCs w:val="24"/>
        </w:rPr>
        <w:br w:type="page"/>
      </w:r>
    </w:p>
    <w:p w14:paraId="477A7731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C414B3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lastRenderedPageBreak/>
        <w:t>SCHEDA STATO DI ATTUAZIONE</w:t>
      </w:r>
    </w:p>
    <w:p w14:paraId="403B76FB" w14:textId="77777777" w:rsidR="008B5829" w:rsidRPr="00C414B3" w:rsidRDefault="008B5829" w:rsidP="008B5829">
      <w:pPr>
        <w:jc w:val="center"/>
        <w:rPr>
          <w:b/>
          <w:sz w:val="2"/>
          <w:szCs w:val="28"/>
        </w:rPr>
      </w:pPr>
    </w:p>
    <w:p w14:paraId="44504F67" w14:textId="77777777" w:rsidR="008B5829" w:rsidRPr="00C414B3" w:rsidRDefault="008B5829" w:rsidP="008B582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C5E0B3" w:themeFill="accent6" w:themeFillTint="66"/>
        <w:spacing w:before="120"/>
        <w:jc w:val="center"/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</w:pPr>
      <w:r w:rsidRPr="001E0F9D">
        <w:rPr>
          <w:rFonts w:eastAsia="MS Mincho" w:cstheme="minorHAnsi"/>
          <w:b/>
          <w:bCs/>
          <w:color w:val="002060"/>
          <w:sz w:val="24"/>
          <w:szCs w:val="24"/>
          <w:lang w:eastAsia="ja-JP"/>
        </w:rPr>
        <w:t>Mantenimento della partecipazione con azioni di razionalizzazione della società</w:t>
      </w:r>
    </w:p>
    <w:p w14:paraId="5803028D" w14:textId="77777777" w:rsidR="008B5829" w:rsidRDefault="008B5829" w:rsidP="008B5829"/>
    <w:p w14:paraId="0685B6CA" w14:textId="77777777" w:rsidR="008B5829" w:rsidRPr="00D644A6" w:rsidRDefault="008B5829" w:rsidP="008B5829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644A6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5005" w:type="pct"/>
        <w:jc w:val="center"/>
        <w:tblBorders>
          <w:top w:val="single" w:sz="4" w:space="0" w:color="0F253F"/>
          <w:left w:val="single" w:sz="4" w:space="0" w:color="0F253F"/>
          <w:bottom w:val="single" w:sz="4" w:space="0" w:color="0F253F"/>
          <w:right w:val="single" w:sz="4" w:space="0" w:color="0F253F"/>
          <w:insideH w:val="single" w:sz="4" w:space="0" w:color="0F253F"/>
          <w:insideV w:val="single" w:sz="4" w:space="0" w:color="0F253F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921288" w:rsidRPr="00743340" w14:paraId="34497994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52C21582" w14:textId="77777777" w:rsidR="00921288" w:rsidRPr="00743340" w:rsidRDefault="00921288" w:rsidP="0092128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C009EB" w14:textId="4CCE41B3" w:rsidR="00921288" w:rsidRPr="00743340" w:rsidRDefault="00921288" w:rsidP="0092128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05327781000</w:t>
            </w:r>
          </w:p>
        </w:tc>
      </w:tr>
      <w:tr w:rsidR="00921288" w:rsidRPr="00743340" w14:paraId="40726441" w14:textId="77777777" w:rsidTr="009442F4">
        <w:trPr>
          <w:cantSplit/>
          <w:trHeight w:val="249"/>
          <w:jc w:val="center"/>
        </w:trPr>
        <w:tc>
          <w:tcPr>
            <w:tcW w:w="2500" w:type="pct"/>
            <w:shd w:val="clear" w:color="auto" w:fill="auto"/>
            <w:vAlign w:val="center"/>
          </w:tcPr>
          <w:p w14:paraId="01C9EA54" w14:textId="77777777" w:rsidR="00921288" w:rsidRPr="00743340" w:rsidRDefault="00921288" w:rsidP="0092128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4334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A2F3789" w14:textId="2C971534" w:rsidR="00921288" w:rsidRPr="00743340" w:rsidRDefault="00921288" w:rsidP="0092128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04A96">
              <w:rPr>
                <w:rFonts w:eastAsia="Calibri"/>
                <w:b/>
                <w:bCs/>
                <w:iCs/>
                <w:color w:val="244062"/>
                <w:sz w:val="18"/>
                <w:szCs w:val="18"/>
              </w:rPr>
              <w:t>TECNO HOLDING SPA</w:t>
            </w:r>
          </w:p>
        </w:tc>
      </w:tr>
    </w:tbl>
    <w:p w14:paraId="7F7CE827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B5829" w:rsidRPr="00300EF3" w14:paraId="5B146BC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5E31880" w14:textId="77777777" w:rsidR="008B5829" w:rsidRPr="00D644A6" w:rsidRDefault="008B5829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644A6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42FDBEA" w14:textId="77777777" w:rsidR="008B5829" w:rsidRPr="00D644A6" w:rsidRDefault="008B5829" w:rsidP="009442F4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B5829" w:rsidRPr="00300EF3" w14:paraId="4A953EB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976E3D1" w14:textId="40965C59" w:rsidR="008B5829" w:rsidRPr="00972F2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972F20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di attuazione </w:t>
            </w:r>
            <w:r w:rsidR="00972F20" w:rsidRPr="00972F20">
              <w:rPr>
                <w:rFonts w:cstheme="minorHAnsi"/>
                <w:b/>
                <w:color w:val="244062"/>
                <w:sz w:val="18"/>
                <w:szCs w:val="20"/>
              </w:rPr>
              <w:t>della procedura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 di attuazione degli interventi di razionalizzazione"/>
            <w:tag w:val="Stato di attuazione degli interventi di razionalizzazione"/>
            <w:id w:val="-849023098"/>
            <w:placeholder>
              <w:docPart w:val="B423A60B123B4299A716E28F17FD71A5"/>
            </w:placeholder>
            <w:dropDownList>
              <w:listItem w:value="Scegliere un elemento."/>
              <w:listItem w:displayText="Interventi di razionalizzazione della società non avviati" w:value="Interventi di razionalizzazione della società non avviati"/>
              <w:listItem w:displayText="Interventi di razionalizzazione della società in corso" w:value="Interventi di razionalizzazione della società in corso"/>
              <w:listItem w:displayText="Interventi di razionalizzazione della società completati" w:value="Interventi di razionalizzazione della società completati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210EA9CF" w14:textId="310C7D77" w:rsidR="008B5829" w:rsidRPr="00C414B3" w:rsidRDefault="003D492E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Interventi di razionalizzazione della società in corso</w:t>
                </w:r>
              </w:p>
            </w:tc>
          </w:sdtContent>
        </w:sdt>
      </w:tr>
      <w:tr w:rsidR="008B5829" w:rsidRPr="00300EF3" w14:paraId="0A53216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A93EE7C" w14:textId="77777777" w:rsidR="008B5829" w:rsidRPr="00972F20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972F20">
              <w:rPr>
                <w:rFonts w:cstheme="minorHAnsi"/>
                <w:b/>
                <w:color w:val="244062"/>
                <w:sz w:val="18"/>
                <w:szCs w:val="20"/>
              </w:rPr>
              <w:t>Interventi di razionalizzazione previsti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5032EA7" w14:textId="7F658F17" w:rsidR="00490E0A" w:rsidRPr="00490E0A" w:rsidRDefault="00490E0A" w:rsidP="00490E0A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Il Programma di Riconfigurazione approvato dal Consiglio di Amministrazione di Tecno Holding in data 26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novembre 2020 prevedeva un processo accelerato di dismissione della maggior parte degli assets ad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esclusione di Tinexta (essendo società quotata)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>,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 xml:space="preserve"> da realizzarsi avendo sempre attenzione alla migliore</w:t>
            </w:r>
          </w:p>
          <w:p w14:paraId="7830FC7C" w14:textId="671C22AF" w:rsidR="00490E0A" w:rsidRPr="00C414B3" w:rsidRDefault="00490E0A" w:rsidP="00490E0A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valorizzazione degli assets stessi.</w:t>
            </w:r>
          </w:p>
        </w:tc>
      </w:tr>
      <w:tr w:rsidR="008B5829" w:rsidRPr="00300EF3" w14:paraId="5865EC2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23525BD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Motivazioni del mancato avvio degli interventi di razionalizzazione previsti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BF59BC7" w14:textId="77777777" w:rsidR="008B5829" w:rsidRPr="00C414B3" w:rsidRDefault="008B5829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D87A81" w:rsidRPr="00300EF3" w14:paraId="3DC50AB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92132E3" w14:textId="77777777" w:rsidR="00D87A81" w:rsidRPr="00C414B3" w:rsidRDefault="00D87A81" w:rsidP="00D87A8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0F9D">
              <w:rPr>
                <w:rFonts w:cstheme="minorHAnsi"/>
                <w:b/>
                <w:color w:val="244062"/>
                <w:sz w:val="18"/>
                <w:szCs w:val="20"/>
              </w:rPr>
              <w:t>Interventi di razionalizzazione realizzati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B74DF03" w14:textId="5BAB2BD5" w:rsidR="00D87A81" w:rsidRPr="0047788D" w:rsidRDefault="00D87A81" w:rsidP="00D87A81">
            <w:pPr>
              <w:spacing w:after="0" w:line="240" w:lineRule="auto"/>
              <w:jc w:val="both"/>
              <w:rPr>
                <w:color w:val="24405E"/>
                <w:sz w:val="18"/>
                <w:szCs w:val="18"/>
              </w:rPr>
            </w:pPr>
            <w:r>
              <w:rPr>
                <w:color w:val="24405E"/>
                <w:sz w:val="18"/>
                <w:szCs w:val="18"/>
              </w:rPr>
              <w:t>Alla data di adozione del provvedimento, il portafoglio partecipativo di Tecno Holding è variato</w:t>
            </w:r>
            <w:r w:rsidR="00490E0A">
              <w:rPr>
                <w:color w:val="24405E"/>
                <w:sz w:val="18"/>
                <w:szCs w:val="18"/>
              </w:rPr>
              <w:t xml:space="preserve"> rispetto al 2023</w:t>
            </w:r>
            <w:r>
              <w:rPr>
                <w:color w:val="24405E"/>
                <w:sz w:val="18"/>
                <w:szCs w:val="18"/>
              </w:rPr>
              <w:t xml:space="preserve">, essendosi conclusa la procedura di liquidazione volontaria di </w:t>
            </w:r>
            <w:r w:rsidRPr="00A2301B">
              <w:rPr>
                <w:color w:val="24405E"/>
                <w:sz w:val="18"/>
                <w:szCs w:val="18"/>
                <w:u w:val="single"/>
              </w:rPr>
              <w:t>Re Parcheggi Via Livorno</w:t>
            </w:r>
            <w:r w:rsidR="00C26FF0">
              <w:rPr>
                <w:color w:val="24405E"/>
                <w:sz w:val="18"/>
                <w:szCs w:val="18"/>
                <w:u w:val="single"/>
              </w:rPr>
              <w:t xml:space="preserve"> srl</w:t>
            </w:r>
            <w:r>
              <w:rPr>
                <w:color w:val="24405E"/>
                <w:sz w:val="18"/>
                <w:szCs w:val="18"/>
              </w:rPr>
              <w:t>, con la conseguente monetizzazione (</w:t>
            </w:r>
            <w:r w:rsidRPr="005E25CF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323 mila euro</w:t>
            </w:r>
            <w:r>
              <w:rPr>
                <w:color w:val="24405E"/>
                <w:sz w:val="18"/>
                <w:szCs w:val="18"/>
              </w:rPr>
              <w:t>), da riparto finale, della partecipazione del 68% posseduta dalla società.</w:t>
            </w:r>
          </w:p>
          <w:p w14:paraId="1CA07612" w14:textId="7AD39234" w:rsidR="00490E0A" w:rsidRDefault="00D87A81" w:rsidP="00490E0A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color w:val="24405E"/>
                <w:sz w:val="18"/>
                <w:szCs w:val="18"/>
              </w:rPr>
              <w:t xml:space="preserve">Inoltre, </w:t>
            </w:r>
            <w:r w:rsidR="00EC4882">
              <w:rPr>
                <w:color w:val="24405E"/>
                <w:sz w:val="18"/>
                <w:szCs w:val="18"/>
              </w:rPr>
              <w:t xml:space="preserve">in data </w:t>
            </w:r>
            <w:r w:rsidR="00EC4882" w:rsidRPr="00490E0A">
              <w:rPr>
                <w:rFonts w:cstheme="minorHAnsi"/>
                <w:iCs/>
                <w:color w:val="244062"/>
                <w:sz w:val="18"/>
                <w:szCs w:val="18"/>
              </w:rPr>
              <w:t>13/08/2024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 xml:space="preserve">è stata liquidata </w:t>
            </w:r>
            <w:r w:rsidR="00EC4882" w:rsidRPr="00490E0A">
              <w:rPr>
                <w:rFonts w:cstheme="minorHAnsi"/>
                <w:iCs/>
                <w:color w:val="244062"/>
                <w:sz w:val="18"/>
                <w:szCs w:val="18"/>
              </w:rPr>
              <w:t>con quota di riparto finale di 103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 xml:space="preserve"> mila euro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 xml:space="preserve"> la partecipazione di Tecno Holding in </w:t>
            </w:r>
            <w:r w:rsidR="00EC4882" w:rsidRPr="00A2301B">
              <w:rPr>
                <w:rFonts w:cstheme="minorHAnsi"/>
                <w:iCs/>
                <w:color w:val="244062"/>
                <w:sz w:val="18"/>
                <w:szCs w:val="18"/>
                <w:u w:val="single"/>
              </w:rPr>
              <w:t>RS Records</w:t>
            </w:r>
            <w:r w:rsidR="00A2301B">
              <w:rPr>
                <w:rFonts w:cstheme="minorHAnsi"/>
                <w:iCs/>
                <w:color w:val="244062"/>
                <w:sz w:val="18"/>
                <w:szCs w:val="18"/>
                <w:u w:val="single"/>
              </w:rPr>
              <w:t xml:space="preserve"> Store spa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>, in liquidazione volontaria da dicembre 2020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 xml:space="preserve"> e </w:t>
            </w:r>
            <w:r>
              <w:rPr>
                <w:color w:val="24405E"/>
                <w:sz w:val="18"/>
                <w:szCs w:val="18"/>
              </w:rPr>
              <w:t>cancella</w:t>
            </w:r>
            <w:r w:rsidR="00EC4882">
              <w:rPr>
                <w:color w:val="24405E"/>
                <w:sz w:val="18"/>
                <w:szCs w:val="18"/>
              </w:rPr>
              <w:t>ta</w:t>
            </w:r>
            <w:r>
              <w:rPr>
                <w:color w:val="24405E"/>
                <w:sz w:val="18"/>
                <w:szCs w:val="18"/>
              </w:rPr>
              <w:t xml:space="preserve"> dal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Registro Imprese 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>a settembre 2024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.</w:t>
            </w:r>
            <w:r w:rsidR="00490E0A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</w:p>
          <w:p w14:paraId="69AA1A6F" w14:textId="14D39DB5" w:rsidR="00EC4882" w:rsidRPr="00C414B3" w:rsidRDefault="00EC4882" w:rsidP="00490E0A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D87A81" w:rsidRPr="00300EF3" w14:paraId="12480FA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4B38C1A8" w14:textId="77777777" w:rsidR="00D87A81" w:rsidRPr="00246C4F" w:rsidRDefault="00D87A81" w:rsidP="00D87A8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246C4F">
              <w:rPr>
                <w:rFonts w:cstheme="minorHAnsi"/>
                <w:b/>
                <w:color w:val="244062"/>
                <w:sz w:val="18"/>
                <w:szCs w:val="20"/>
              </w:rPr>
              <w:t>Ulteriori informazioni</w:t>
            </w:r>
            <w:r w:rsidRPr="00AF693D">
              <w:rPr>
                <w:rFonts w:cstheme="minorHAnsi"/>
                <w:b/>
                <w:color w:val="FF0000"/>
                <w:sz w:val="18"/>
                <w:szCs w:val="20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CB07ED9" w14:textId="3514D16B" w:rsidR="00490E0A" w:rsidRDefault="00376FC6" w:rsidP="00490E0A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D</w:t>
            </w:r>
            <w:r w:rsidR="00490E0A">
              <w:rPr>
                <w:rFonts w:cstheme="minorHAnsi"/>
                <w:iCs/>
                <w:color w:val="244062"/>
                <w:sz w:val="18"/>
                <w:szCs w:val="18"/>
              </w:rPr>
              <w:t xml:space="preserve">el portafoglio partecipativo di Tecno Holding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fanno parte anche due società - </w:t>
            </w:r>
            <w:r w:rsidRPr="00376FC6">
              <w:rPr>
                <w:rFonts w:cstheme="minorHAnsi"/>
                <w:iCs/>
                <w:color w:val="244062"/>
                <w:sz w:val="18"/>
                <w:szCs w:val="18"/>
              </w:rPr>
              <w:t xml:space="preserve">Orizzonte Solare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srl</w:t>
            </w:r>
            <w:r w:rsidRPr="00376FC6">
              <w:rPr>
                <w:rFonts w:cstheme="minorHAnsi"/>
                <w:iCs/>
                <w:color w:val="244062"/>
                <w:sz w:val="18"/>
                <w:szCs w:val="18"/>
              </w:rPr>
              <w:t xml:space="preserve"> e Ambra Verde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srl – che non sono censite ai fini del Piano di Razionalizzazione di Unioncamere, </w:t>
            </w:r>
            <w:r w:rsidRPr="00376FC6">
              <w:rPr>
                <w:rFonts w:cstheme="minorHAnsi"/>
                <w:iCs/>
                <w:color w:val="244062"/>
                <w:sz w:val="18"/>
                <w:szCs w:val="18"/>
              </w:rPr>
              <w:t>in quanto ritenut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>e</w:t>
            </w:r>
            <w:r w:rsidRPr="00376FC6">
              <w:rPr>
                <w:rFonts w:cstheme="minorHAnsi"/>
                <w:iCs/>
                <w:color w:val="244062"/>
                <w:sz w:val="18"/>
                <w:szCs w:val="18"/>
              </w:rPr>
              <w:t xml:space="preserve"> quote assegnate a seguito della liquidazione di un fondo d'investimento “Sistema infrastrutture” che è stato sciolto a fine 2021, con conseguente assegnazione a tutti i quotisti di pro-quote detenute tramite l'intestazione fiduciaria e volte a garantire una gestione unitaria, fino alla cessazione delle loro attività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.</w:t>
            </w:r>
          </w:p>
          <w:p w14:paraId="1F5A8C27" w14:textId="340350CB" w:rsidR="00376FC6" w:rsidRDefault="00EC4882" w:rsidP="00490E0A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Ciononostante,</w:t>
            </w:r>
            <w:r w:rsidR="00376FC6">
              <w:rPr>
                <w:rFonts w:cstheme="minorHAnsi"/>
                <w:iCs/>
                <w:color w:val="244062"/>
                <w:sz w:val="18"/>
                <w:szCs w:val="18"/>
              </w:rPr>
              <w:t xml:space="preserve"> si vuole qui riportare quanto ha stabilito la società Tecno Holding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per queste due società.</w:t>
            </w:r>
          </w:p>
          <w:p w14:paraId="7D7649D0" w14:textId="1CEB8830" w:rsidR="00490E0A" w:rsidRDefault="00490E0A" w:rsidP="00490E0A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 xml:space="preserve">Per la partecipazione in </w:t>
            </w:r>
            <w:r w:rsidRPr="00EC4882">
              <w:rPr>
                <w:rFonts w:cstheme="minorHAnsi"/>
                <w:iCs/>
                <w:color w:val="244062"/>
                <w:sz w:val="18"/>
                <w:szCs w:val="18"/>
                <w:u w:val="single"/>
              </w:rPr>
              <w:t xml:space="preserve">Orizzonte Solare 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  <w:u w:val="single"/>
              </w:rPr>
              <w:t>s</w:t>
            </w:r>
            <w:r w:rsidRPr="00EC4882">
              <w:rPr>
                <w:rFonts w:cstheme="minorHAnsi"/>
                <w:iCs/>
                <w:color w:val="244062"/>
                <w:sz w:val="18"/>
                <w:szCs w:val="18"/>
                <w:u w:val="single"/>
              </w:rPr>
              <w:t>rl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 xml:space="preserve"> (quota del 54,40%) iscritta in bilancio per 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>e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uro 45.560,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la Società rimane ancora attiva per la valorizzazione di due earn out positivi (non ancora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contabilizzati) relativi alle cessioni di partecipazioni poste in essere in anni precedenti.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 xml:space="preserve"> N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on è prevedibile che la partecipazione di Tecno Holding possa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essere monetizzata prima della fine del 2025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.</w:t>
            </w:r>
          </w:p>
          <w:p w14:paraId="6C03AC60" w14:textId="1251742D" w:rsidR="00490E0A" w:rsidRDefault="00490E0A" w:rsidP="00EC4882">
            <w:pPr>
              <w:spacing w:after="0" w:line="240" w:lineRule="auto"/>
              <w:jc w:val="both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P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 xml:space="preserve">er la partecipazione in </w:t>
            </w:r>
            <w:r w:rsidRPr="00EC4882">
              <w:rPr>
                <w:rFonts w:cstheme="minorHAnsi"/>
                <w:iCs/>
                <w:color w:val="244062"/>
                <w:sz w:val="18"/>
                <w:szCs w:val="18"/>
                <w:u w:val="single"/>
              </w:rPr>
              <w:t xml:space="preserve">Ambra Verde 3 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  <w:u w:val="single"/>
              </w:rPr>
              <w:t>s</w:t>
            </w:r>
            <w:r w:rsidRPr="00EC4882">
              <w:rPr>
                <w:rFonts w:cstheme="minorHAnsi"/>
                <w:iCs/>
                <w:color w:val="244062"/>
                <w:sz w:val="18"/>
                <w:szCs w:val="18"/>
                <w:u w:val="single"/>
              </w:rPr>
              <w:t>rl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 xml:space="preserve"> (quota del 11,66%) iscritta in bilancio per 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>e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uro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 xml:space="preserve">306.000, la 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>s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ocietà, essendo una sub-holding pura, rimane ancora attiva per la valorizzazione delle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partecipazioni in portafoglio</w:t>
            </w:r>
            <w:r w:rsidR="00EC4882">
              <w:rPr>
                <w:rFonts w:cstheme="minorHAnsi"/>
                <w:iCs/>
                <w:color w:val="244062"/>
                <w:sz w:val="18"/>
                <w:szCs w:val="18"/>
              </w:rPr>
              <w:t>. N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on è prevedibile quando si riuscirà a monetizzare definitivamente la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partecipazione in AV3 ma, comunque, non dovrebbe rendersi necessario che Tecno Holding operi,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  <w:r w:rsidRPr="00490E0A">
              <w:rPr>
                <w:rFonts w:cstheme="minorHAnsi"/>
                <w:iCs/>
                <w:color w:val="244062"/>
                <w:sz w:val="18"/>
                <w:szCs w:val="18"/>
              </w:rPr>
              <w:t>nel proprio bilancio 2024, una svalutazione della partecipazione.</w:t>
            </w:r>
          </w:p>
          <w:p w14:paraId="5B6A2631" w14:textId="635CDD7C" w:rsidR="00490E0A" w:rsidRPr="00C414B3" w:rsidRDefault="00490E0A" w:rsidP="00490E0A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718E2C92" w14:textId="77777777" w:rsidR="008B5829" w:rsidRPr="000B779F" w:rsidRDefault="008B5829" w:rsidP="008B5829">
      <w:pPr>
        <w:rPr>
          <w:rFonts w:cstheme="minorHAnsi"/>
          <w:color w:val="244062"/>
          <w:sz w:val="18"/>
          <w:szCs w:val="20"/>
        </w:rPr>
      </w:pPr>
      <w:r w:rsidRPr="00AF693D">
        <w:rPr>
          <w:rFonts w:cstheme="minorHAnsi"/>
          <w:color w:val="FF0000"/>
          <w:sz w:val="18"/>
          <w:szCs w:val="20"/>
        </w:rPr>
        <w:t>*</w:t>
      </w:r>
      <w:r w:rsidRPr="000B779F">
        <w:rPr>
          <w:rFonts w:cstheme="minorHAnsi"/>
          <w:color w:val="244062"/>
          <w:sz w:val="18"/>
          <w:szCs w:val="20"/>
        </w:rPr>
        <w:t>Campo testuale con compilazione facoltativa.</w:t>
      </w:r>
    </w:p>
    <w:p w14:paraId="7650DD3D" w14:textId="77777777" w:rsidR="008B5829" w:rsidRDefault="008B5829" w:rsidP="008B5829">
      <w:pPr>
        <w:rPr>
          <w:b/>
          <w:u w:val="single"/>
        </w:rPr>
      </w:pPr>
    </w:p>
    <w:p w14:paraId="17446546" w14:textId="77777777" w:rsidR="008B5829" w:rsidRDefault="008B5829" w:rsidP="008B5829">
      <w:pPr>
        <w:tabs>
          <w:tab w:val="left" w:pos="357"/>
        </w:tabs>
        <w:rPr>
          <w:sz w:val="20"/>
          <w:szCs w:val="20"/>
        </w:rPr>
      </w:pPr>
    </w:p>
    <w:p w14:paraId="35EDE880" w14:textId="77777777" w:rsidR="00BB478E" w:rsidRPr="00A82128" w:rsidRDefault="00BB478E" w:rsidP="00A82128">
      <w:pPr>
        <w:ind w:firstLine="708"/>
        <w:rPr>
          <w:rFonts w:ascii="Calibri Light" w:hAnsi="Calibri Light" w:cs="Calibri Light"/>
          <w:sz w:val="24"/>
          <w:szCs w:val="24"/>
        </w:rPr>
      </w:pPr>
    </w:p>
    <w:sectPr w:rsidR="00BB478E" w:rsidRPr="00A82128" w:rsidSect="006A720B">
      <w:footerReference w:type="default" r:id="rId9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FD5A9" w14:textId="77777777" w:rsidR="0050799D" w:rsidRDefault="0050799D" w:rsidP="003D526F">
      <w:pPr>
        <w:spacing w:after="0" w:line="240" w:lineRule="auto"/>
      </w:pPr>
      <w:r>
        <w:separator/>
      </w:r>
    </w:p>
  </w:endnote>
  <w:endnote w:type="continuationSeparator" w:id="0">
    <w:p w14:paraId="50539D73" w14:textId="77777777" w:rsidR="0050799D" w:rsidRDefault="0050799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301F0" w14:textId="16008823" w:rsidR="0075005C" w:rsidRPr="00C35184" w:rsidRDefault="00C35184" w:rsidP="00C35184">
    <w:pPr>
      <w:pStyle w:val="Pidipagina"/>
    </w:pPr>
    <w:r w:rsidRPr="003862AD">
      <w:rPr>
        <w:rFonts w:ascii="Calibri" w:hAnsi="Calibri"/>
        <w:b/>
        <w:iCs/>
        <w:color w:val="1F497D"/>
        <w:sz w:val="20"/>
        <w:szCs w:val="48"/>
      </w:rPr>
      <w:t xml:space="preserve">RELAZIONE </w:t>
    </w:r>
    <w:r>
      <w:rPr>
        <w:rFonts w:ascii="Calibri" w:hAnsi="Calibri"/>
        <w:b/>
        <w:iCs/>
        <w:color w:val="1F497D"/>
        <w:sz w:val="20"/>
        <w:szCs w:val="48"/>
      </w:rPr>
      <w:t>SULL’</w:t>
    </w:r>
    <w:r w:rsidRPr="003862AD">
      <w:rPr>
        <w:rFonts w:ascii="Calibri" w:hAnsi="Calibri"/>
        <w:b/>
        <w:iCs/>
        <w:color w:val="1F497D"/>
        <w:sz w:val="20"/>
        <w:szCs w:val="48"/>
      </w:rPr>
      <w:t xml:space="preserve">ATTUAZIONE </w:t>
    </w:r>
    <w:r>
      <w:rPr>
        <w:rFonts w:ascii="Calibri" w:hAnsi="Calibri"/>
        <w:b/>
        <w:iCs/>
        <w:color w:val="1F497D"/>
        <w:sz w:val="20"/>
        <w:szCs w:val="48"/>
      </w:rPr>
      <w:t xml:space="preserve">DEL </w:t>
    </w:r>
    <w:r w:rsidRPr="003862AD">
      <w:rPr>
        <w:rFonts w:ascii="Calibri" w:hAnsi="Calibri"/>
        <w:b/>
        <w:iCs/>
        <w:color w:val="1F497D"/>
        <w:sz w:val="20"/>
        <w:szCs w:val="48"/>
      </w:rPr>
      <w:t>PIANO DI RAZIONALIZZAZIONE</w:t>
    </w:r>
    <w:r>
      <w:rPr>
        <w:rFonts w:ascii="Calibri" w:hAnsi="Calibri"/>
        <w:b/>
        <w:iCs/>
        <w:color w:val="1F497D"/>
        <w:sz w:val="20"/>
        <w:szCs w:val="48"/>
      </w:rPr>
      <w:t xml:space="preserve"> 2023 DI UNIONCAMERE ITALIANA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0A9D4" w14:textId="77777777" w:rsidR="0050799D" w:rsidRDefault="0050799D" w:rsidP="003D526F">
      <w:pPr>
        <w:spacing w:after="0" w:line="240" w:lineRule="auto"/>
      </w:pPr>
      <w:r>
        <w:separator/>
      </w:r>
    </w:p>
  </w:footnote>
  <w:footnote w:type="continuationSeparator" w:id="0">
    <w:p w14:paraId="413B9C3A" w14:textId="77777777" w:rsidR="0050799D" w:rsidRDefault="0050799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B70F94"/>
    <w:multiLevelType w:val="hybridMultilevel"/>
    <w:tmpl w:val="D59C549C"/>
    <w:lvl w:ilvl="0" w:tplc="5AEC7C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B24EB6"/>
    <w:multiLevelType w:val="hybridMultilevel"/>
    <w:tmpl w:val="4244B230"/>
    <w:lvl w:ilvl="0" w:tplc="5C0A7A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D23E53"/>
    <w:multiLevelType w:val="hybridMultilevel"/>
    <w:tmpl w:val="1E32D348"/>
    <w:lvl w:ilvl="0" w:tplc="2CAAF2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D29FD"/>
    <w:multiLevelType w:val="hybridMultilevel"/>
    <w:tmpl w:val="0AFE2830"/>
    <w:lvl w:ilvl="0" w:tplc="0B4A7234">
      <w:start w:val="1"/>
      <w:numFmt w:val="bullet"/>
      <w:lvlText w:val="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015340">
    <w:abstractNumId w:val="18"/>
  </w:num>
  <w:num w:numId="2" w16cid:durableId="84307327">
    <w:abstractNumId w:val="16"/>
  </w:num>
  <w:num w:numId="3" w16cid:durableId="756632876">
    <w:abstractNumId w:val="8"/>
  </w:num>
  <w:num w:numId="4" w16cid:durableId="1635016321">
    <w:abstractNumId w:val="21"/>
  </w:num>
  <w:num w:numId="5" w16cid:durableId="765272427">
    <w:abstractNumId w:val="22"/>
  </w:num>
  <w:num w:numId="6" w16cid:durableId="1941915842">
    <w:abstractNumId w:val="5"/>
  </w:num>
  <w:num w:numId="7" w16cid:durableId="399518696">
    <w:abstractNumId w:val="15"/>
  </w:num>
  <w:num w:numId="8" w16cid:durableId="1721325463">
    <w:abstractNumId w:val="19"/>
  </w:num>
  <w:num w:numId="9" w16cid:durableId="69932789">
    <w:abstractNumId w:val="2"/>
  </w:num>
  <w:num w:numId="10" w16cid:durableId="199055791">
    <w:abstractNumId w:val="6"/>
  </w:num>
  <w:num w:numId="11" w16cid:durableId="1998268546">
    <w:abstractNumId w:val="9"/>
  </w:num>
  <w:num w:numId="12" w16cid:durableId="20263200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6730611">
    <w:abstractNumId w:val="14"/>
  </w:num>
  <w:num w:numId="14" w16cid:durableId="1532298299">
    <w:abstractNumId w:val="7"/>
  </w:num>
  <w:num w:numId="15" w16cid:durableId="265387729">
    <w:abstractNumId w:val="4"/>
  </w:num>
  <w:num w:numId="16" w16cid:durableId="1508131659">
    <w:abstractNumId w:val="3"/>
  </w:num>
  <w:num w:numId="17" w16cid:durableId="326632756">
    <w:abstractNumId w:val="10"/>
  </w:num>
  <w:num w:numId="18" w16cid:durableId="1809937557">
    <w:abstractNumId w:val="11"/>
  </w:num>
  <w:num w:numId="19" w16cid:durableId="1793866559">
    <w:abstractNumId w:val="24"/>
  </w:num>
  <w:num w:numId="20" w16cid:durableId="1089043243">
    <w:abstractNumId w:val="25"/>
  </w:num>
  <w:num w:numId="21" w16cid:durableId="1375080643">
    <w:abstractNumId w:val="0"/>
  </w:num>
  <w:num w:numId="22" w16cid:durableId="2119252405">
    <w:abstractNumId w:val="13"/>
  </w:num>
  <w:num w:numId="23" w16cid:durableId="498229967">
    <w:abstractNumId w:val="1"/>
  </w:num>
  <w:num w:numId="24" w16cid:durableId="1592590726">
    <w:abstractNumId w:val="20"/>
  </w:num>
  <w:num w:numId="25" w16cid:durableId="1239902500">
    <w:abstractNumId w:val="23"/>
  </w:num>
  <w:num w:numId="26" w16cid:durableId="1635938942">
    <w:abstractNumId w:val="17"/>
  </w:num>
  <w:num w:numId="27" w16cid:durableId="5654559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5F61"/>
    <w:rsid w:val="000225D1"/>
    <w:rsid w:val="00033ED1"/>
    <w:rsid w:val="00036248"/>
    <w:rsid w:val="0004779F"/>
    <w:rsid w:val="00051279"/>
    <w:rsid w:val="00052BD5"/>
    <w:rsid w:val="00060D20"/>
    <w:rsid w:val="000721A4"/>
    <w:rsid w:val="00074A2A"/>
    <w:rsid w:val="00080DF4"/>
    <w:rsid w:val="0008701B"/>
    <w:rsid w:val="00096BA7"/>
    <w:rsid w:val="000A5608"/>
    <w:rsid w:val="000B4841"/>
    <w:rsid w:val="000D54C8"/>
    <w:rsid w:val="000F2AED"/>
    <w:rsid w:val="000F6057"/>
    <w:rsid w:val="00101114"/>
    <w:rsid w:val="00106733"/>
    <w:rsid w:val="001141B8"/>
    <w:rsid w:val="00116188"/>
    <w:rsid w:val="00117425"/>
    <w:rsid w:val="001204D8"/>
    <w:rsid w:val="00122F89"/>
    <w:rsid w:val="001247D7"/>
    <w:rsid w:val="00131B32"/>
    <w:rsid w:val="001325AF"/>
    <w:rsid w:val="00134C6C"/>
    <w:rsid w:val="00137650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366"/>
    <w:rsid w:val="00174580"/>
    <w:rsid w:val="00181D64"/>
    <w:rsid w:val="001850C7"/>
    <w:rsid w:val="00187EBC"/>
    <w:rsid w:val="00190577"/>
    <w:rsid w:val="00191AD2"/>
    <w:rsid w:val="00192C9B"/>
    <w:rsid w:val="00193A63"/>
    <w:rsid w:val="00197484"/>
    <w:rsid w:val="001A053C"/>
    <w:rsid w:val="001A32DB"/>
    <w:rsid w:val="001A3F44"/>
    <w:rsid w:val="001A6C07"/>
    <w:rsid w:val="001B2CCF"/>
    <w:rsid w:val="001B3AC8"/>
    <w:rsid w:val="001B59B8"/>
    <w:rsid w:val="001B7AC4"/>
    <w:rsid w:val="001C1AC6"/>
    <w:rsid w:val="001C21E0"/>
    <w:rsid w:val="001C6643"/>
    <w:rsid w:val="001D279C"/>
    <w:rsid w:val="001D3725"/>
    <w:rsid w:val="001D4B9D"/>
    <w:rsid w:val="001D6000"/>
    <w:rsid w:val="001D6D2A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16FD"/>
    <w:rsid w:val="00242147"/>
    <w:rsid w:val="00246C4F"/>
    <w:rsid w:val="002470B9"/>
    <w:rsid w:val="002512CF"/>
    <w:rsid w:val="0025188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2EB9"/>
    <w:rsid w:val="00293672"/>
    <w:rsid w:val="0029505F"/>
    <w:rsid w:val="002A04DA"/>
    <w:rsid w:val="002A14FA"/>
    <w:rsid w:val="002A4F14"/>
    <w:rsid w:val="002A6B77"/>
    <w:rsid w:val="002B078B"/>
    <w:rsid w:val="002B53D2"/>
    <w:rsid w:val="002B6BB0"/>
    <w:rsid w:val="002B6BFA"/>
    <w:rsid w:val="002C23AE"/>
    <w:rsid w:val="002C3D95"/>
    <w:rsid w:val="002C76AC"/>
    <w:rsid w:val="002D77BD"/>
    <w:rsid w:val="002E3504"/>
    <w:rsid w:val="002E68E8"/>
    <w:rsid w:val="002E734B"/>
    <w:rsid w:val="002F06CD"/>
    <w:rsid w:val="002F13C8"/>
    <w:rsid w:val="00304EF0"/>
    <w:rsid w:val="00310050"/>
    <w:rsid w:val="00313243"/>
    <w:rsid w:val="00314F2F"/>
    <w:rsid w:val="00321001"/>
    <w:rsid w:val="0033150F"/>
    <w:rsid w:val="003317B9"/>
    <w:rsid w:val="00340592"/>
    <w:rsid w:val="00340FE4"/>
    <w:rsid w:val="00341142"/>
    <w:rsid w:val="00342760"/>
    <w:rsid w:val="00344FDD"/>
    <w:rsid w:val="0034585E"/>
    <w:rsid w:val="00355FCD"/>
    <w:rsid w:val="00367B04"/>
    <w:rsid w:val="003724DA"/>
    <w:rsid w:val="003725AB"/>
    <w:rsid w:val="0037624E"/>
    <w:rsid w:val="00376A94"/>
    <w:rsid w:val="00376FC6"/>
    <w:rsid w:val="00382B02"/>
    <w:rsid w:val="00383161"/>
    <w:rsid w:val="003833FB"/>
    <w:rsid w:val="00383840"/>
    <w:rsid w:val="00385C4C"/>
    <w:rsid w:val="003862AD"/>
    <w:rsid w:val="0039155B"/>
    <w:rsid w:val="00393275"/>
    <w:rsid w:val="003936DD"/>
    <w:rsid w:val="003971B1"/>
    <w:rsid w:val="003A03B4"/>
    <w:rsid w:val="003A46EC"/>
    <w:rsid w:val="003A53D4"/>
    <w:rsid w:val="003A5B64"/>
    <w:rsid w:val="003B4E27"/>
    <w:rsid w:val="003B4FCD"/>
    <w:rsid w:val="003D492E"/>
    <w:rsid w:val="003D5166"/>
    <w:rsid w:val="003D526F"/>
    <w:rsid w:val="003D6141"/>
    <w:rsid w:val="003D7C7D"/>
    <w:rsid w:val="003E0074"/>
    <w:rsid w:val="003E5451"/>
    <w:rsid w:val="003E675E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297"/>
    <w:rsid w:val="00436A0C"/>
    <w:rsid w:val="00437F38"/>
    <w:rsid w:val="00441ABF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7788D"/>
    <w:rsid w:val="00480EE3"/>
    <w:rsid w:val="00481393"/>
    <w:rsid w:val="00485A15"/>
    <w:rsid w:val="00490C0A"/>
    <w:rsid w:val="00490E0A"/>
    <w:rsid w:val="00491768"/>
    <w:rsid w:val="00494D95"/>
    <w:rsid w:val="00495F8B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D634A"/>
    <w:rsid w:val="004E4518"/>
    <w:rsid w:val="004E6322"/>
    <w:rsid w:val="004F0900"/>
    <w:rsid w:val="004F1567"/>
    <w:rsid w:val="004F3F15"/>
    <w:rsid w:val="00500E28"/>
    <w:rsid w:val="00504DE3"/>
    <w:rsid w:val="0050799D"/>
    <w:rsid w:val="00511997"/>
    <w:rsid w:val="005123E7"/>
    <w:rsid w:val="0051381C"/>
    <w:rsid w:val="005158BE"/>
    <w:rsid w:val="005215E9"/>
    <w:rsid w:val="0052377E"/>
    <w:rsid w:val="00533DC7"/>
    <w:rsid w:val="0053507D"/>
    <w:rsid w:val="00537517"/>
    <w:rsid w:val="0054142B"/>
    <w:rsid w:val="0054233C"/>
    <w:rsid w:val="00543892"/>
    <w:rsid w:val="005445B7"/>
    <w:rsid w:val="005454E4"/>
    <w:rsid w:val="00554178"/>
    <w:rsid w:val="00554FA1"/>
    <w:rsid w:val="00561321"/>
    <w:rsid w:val="00564AAE"/>
    <w:rsid w:val="005712C1"/>
    <w:rsid w:val="005716CE"/>
    <w:rsid w:val="005830BD"/>
    <w:rsid w:val="0058501D"/>
    <w:rsid w:val="00587AFE"/>
    <w:rsid w:val="00590CB6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674"/>
    <w:rsid w:val="00617E5F"/>
    <w:rsid w:val="00621823"/>
    <w:rsid w:val="006246CF"/>
    <w:rsid w:val="00627489"/>
    <w:rsid w:val="00636201"/>
    <w:rsid w:val="006369B2"/>
    <w:rsid w:val="00637DF6"/>
    <w:rsid w:val="00643774"/>
    <w:rsid w:val="006529AF"/>
    <w:rsid w:val="006542AE"/>
    <w:rsid w:val="00657679"/>
    <w:rsid w:val="00663DC8"/>
    <w:rsid w:val="00664A5F"/>
    <w:rsid w:val="00672026"/>
    <w:rsid w:val="00672BEA"/>
    <w:rsid w:val="006801A1"/>
    <w:rsid w:val="00681716"/>
    <w:rsid w:val="00686C6E"/>
    <w:rsid w:val="006A0487"/>
    <w:rsid w:val="006A5082"/>
    <w:rsid w:val="006A5E84"/>
    <w:rsid w:val="006A71BA"/>
    <w:rsid w:val="006A720B"/>
    <w:rsid w:val="006A7797"/>
    <w:rsid w:val="006B31E7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7788"/>
    <w:rsid w:val="006F79B7"/>
    <w:rsid w:val="007016DF"/>
    <w:rsid w:val="00705973"/>
    <w:rsid w:val="00710092"/>
    <w:rsid w:val="007116A5"/>
    <w:rsid w:val="00717DFC"/>
    <w:rsid w:val="00722551"/>
    <w:rsid w:val="00722EC6"/>
    <w:rsid w:val="00723DF5"/>
    <w:rsid w:val="00725FEB"/>
    <w:rsid w:val="007265D3"/>
    <w:rsid w:val="00730D59"/>
    <w:rsid w:val="0073138A"/>
    <w:rsid w:val="00731430"/>
    <w:rsid w:val="00736C3C"/>
    <w:rsid w:val="0074053D"/>
    <w:rsid w:val="00744E25"/>
    <w:rsid w:val="007471AF"/>
    <w:rsid w:val="0075005C"/>
    <w:rsid w:val="0075149A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A06"/>
    <w:rsid w:val="007B2E88"/>
    <w:rsid w:val="007B2FB0"/>
    <w:rsid w:val="007B319C"/>
    <w:rsid w:val="007B43FD"/>
    <w:rsid w:val="007B7F18"/>
    <w:rsid w:val="007C413E"/>
    <w:rsid w:val="007C63EF"/>
    <w:rsid w:val="007D6DF0"/>
    <w:rsid w:val="007E4810"/>
    <w:rsid w:val="007E5F79"/>
    <w:rsid w:val="007E6EF8"/>
    <w:rsid w:val="007F2DA6"/>
    <w:rsid w:val="007F5295"/>
    <w:rsid w:val="00813904"/>
    <w:rsid w:val="00826A8E"/>
    <w:rsid w:val="00841370"/>
    <w:rsid w:val="0084608F"/>
    <w:rsid w:val="00854128"/>
    <w:rsid w:val="0086131D"/>
    <w:rsid w:val="0086528F"/>
    <w:rsid w:val="00865775"/>
    <w:rsid w:val="008665E6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128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2F20"/>
    <w:rsid w:val="009760B3"/>
    <w:rsid w:val="00977D3D"/>
    <w:rsid w:val="00984B05"/>
    <w:rsid w:val="0098503B"/>
    <w:rsid w:val="00991787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E531E"/>
    <w:rsid w:val="009F2D79"/>
    <w:rsid w:val="009F621A"/>
    <w:rsid w:val="00A013CD"/>
    <w:rsid w:val="00A01C2C"/>
    <w:rsid w:val="00A2301B"/>
    <w:rsid w:val="00A24253"/>
    <w:rsid w:val="00A370B1"/>
    <w:rsid w:val="00A4149F"/>
    <w:rsid w:val="00A511DB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2C1E"/>
    <w:rsid w:val="00AF693D"/>
    <w:rsid w:val="00B02260"/>
    <w:rsid w:val="00B04153"/>
    <w:rsid w:val="00B05236"/>
    <w:rsid w:val="00B14926"/>
    <w:rsid w:val="00B15629"/>
    <w:rsid w:val="00B165B0"/>
    <w:rsid w:val="00B20B6F"/>
    <w:rsid w:val="00B22323"/>
    <w:rsid w:val="00B23B50"/>
    <w:rsid w:val="00B31512"/>
    <w:rsid w:val="00B31FBC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7DB7"/>
    <w:rsid w:val="00BB09E0"/>
    <w:rsid w:val="00BB2722"/>
    <w:rsid w:val="00BB478E"/>
    <w:rsid w:val="00BB7F72"/>
    <w:rsid w:val="00BC1FDF"/>
    <w:rsid w:val="00BC208D"/>
    <w:rsid w:val="00BC3C1B"/>
    <w:rsid w:val="00BC6A99"/>
    <w:rsid w:val="00BD3C1D"/>
    <w:rsid w:val="00BD5187"/>
    <w:rsid w:val="00BE0575"/>
    <w:rsid w:val="00BE40D5"/>
    <w:rsid w:val="00BF1869"/>
    <w:rsid w:val="00BF5736"/>
    <w:rsid w:val="00BF6AD2"/>
    <w:rsid w:val="00C0647E"/>
    <w:rsid w:val="00C11E8D"/>
    <w:rsid w:val="00C1316D"/>
    <w:rsid w:val="00C14022"/>
    <w:rsid w:val="00C14191"/>
    <w:rsid w:val="00C14627"/>
    <w:rsid w:val="00C159A7"/>
    <w:rsid w:val="00C17B54"/>
    <w:rsid w:val="00C20723"/>
    <w:rsid w:val="00C2315B"/>
    <w:rsid w:val="00C2427C"/>
    <w:rsid w:val="00C26845"/>
    <w:rsid w:val="00C26FF0"/>
    <w:rsid w:val="00C310CB"/>
    <w:rsid w:val="00C314B0"/>
    <w:rsid w:val="00C35184"/>
    <w:rsid w:val="00C35209"/>
    <w:rsid w:val="00C4187E"/>
    <w:rsid w:val="00C51C5F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60FD"/>
    <w:rsid w:val="00CC7163"/>
    <w:rsid w:val="00CD1227"/>
    <w:rsid w:val="00CD619F"/>
    <w:rsid w:val="00CD6AE5"/>
    <w:rsid w:val="00CE4A4F"/>
    <w:rsid w:val="00CE73BD"/>
    <w:rsid w:val="00CF3867"/>
    <w:rsid w:val="00CF7E52"/>
    <w:rsid w:val="00D00A06"/>
    <w:rsid w:val="00D027C0"/>
    <w:rsid w:val="00D07E5D"/>
    <w:rsid w:val="00D16ED5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87A81"/>
    <w:rsid w:val="00D93894"/>
    <w:rsid w:val="00D93C16"/>
    <w:rsid w:val="00D955D9"/>
    <w:rsid w:val="00D957BA"/>
    <w:rsid w:val="00DA0078"/>
    <w:rsid w:val="00DA1E82"/>
    <w:rsid w:val="00DB20D4"/>
    <w:rsid w:val="00DB29F8"/>
    <w:rsid w:val="00DC5F7A"/>
    <w:rsid w:val="00DC6033"/>
    <w:rsid w:val="00DD2810"/>
    <w:rsid w:val="00DD4CEF"/>
    <w:rsid w:val="00DE4D61"/>
    <w:rsid w:val="00DE7657"/>
    <w:rsid w:val="00DF1044"/>
    <w:rsid w:val="00DF6303"/>
    <w:rsid w:val="00E023D5"/>
    <w:rsid w:val="00E063EC"/>
    <w:rsid w:val="00E069F2"/>
    <w:rsid w:val="00E079BB"/>
    <w:rsid w:val="00E16297"/>
    <w:rsid w:val="00E24A44"/>
    <w:rsid w:val="00E269B6"/>
    <w:rsid w:val="00E27A02"/>
    <w:rsid w:val="00E27E7E"/>
    <w:rsid w:val="00E300AE"/>
    <w:rsid w:val="00E31233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2985"/>
    <w:rsid w:val="00E73744"/>
    <w:rsid w:val="00E7385F"/>
    <w:rsid w:val="00E73AEE"/>
    <w:rsid w:val="00E87A6C"/>
    <w:rsid w:val="00E950E8"/>
    <w:rsid w:val="00EA6335"/>
    <w:rsid w:val="00EB1111"/>
    <w:rsid w:val="00EB27AD"/>
    <w:rsid w:val="00EC014E"/>
    <w:rsid w:val="00EC4882"/>
    <w:rsid w:val="00EC5939"/>
    <w:rsid w:val="00ED21FE"/>
    <w:rsid w:val="00ED3431"/>
    <w:rsid w:val="00ED4068"/>
    <w:rsid w:val="00ED4A42"/>
    <w:rsid w:val="00EE1572"/>
    <w:rsid w:val="00EE1E1D"/>
    <w:rsid w:val="00EE446E"/>
    <w:rsid w:val="00EF4A7D"/>
    <w:rsid w:val="00F00E3A"/>
    <w:rsid w:val="00F0175C"/>
    <w:rsid w:val="00F0180A"/>
    <w:rsid w:val="00F0395A"/>
    <w:rsid w:val="00F04BA6"/>
    <w:rsid w:val="00F073F4"/>
    <w:rsid w:val="00F103E9"/>
    <w:rsid w:val="00F10C09"/>
    <w:rsid w:val="00F147D3"/>
    <w:rsid w:val="00F16A53"/>
    <w:rsid w:val="00F214B0"/>
    <w:rsid w:val="00F238D3"/>
    <w:rsid w:val="00F30849"/>
    <w:rsid w:val="00F30D56"/>
    <w:rsid w:val="00F30D8F"/>
    <w:rsid w:val="00F36A03"/>
    <w:rsid w:val="00F36EC8"/>
    <w:rsid w:val="00F370C2"/>
    <w:rsid w:val="00F3732E"/>
    <w:rsid w:val="00F43BFB"/>
    <w:rsid w:val="00F47EAE"/>
    <w:rsid w:val="00F51DE6"/>
    <w:rsid w:val="00F52059"/>
    <w:rsid w:val="00F53053"/>
    <w:rsid w:val="00F5315F"/>
    <w:rsid w:val="00F57022"/>
    <w:rsid w:val="00F60E85"/>
    <w:rsid w:val="00F64819"/>
    <w:rsid w:val="00F73047"/>
    <w:rsid w:val="00F75434"/>
    <w:rsid w:val="00F92BCB"/>
    <w:rsid w:val="00F9330C"/>
    <w:rsid w:val="00F949BF"/>
    <w:rsid w:val="00F95056"/>
    <w:rsid w:val="00F967A0"/>
    <w:rsid w:val="00FA6947"/>
    <w:rsid w:val="00FB0971"/>
    <w:rsid w:val="00FB5803"/>
    <w:rsid w:val="00FC0591"/>
    <w:rsid w:val="00FC65EB"/>
    <w:rsid w:val="00FC7D33"/>
    <w:rsid w:val="00FD0D29"/>
    <w:rsid w:val="00FD583D"/>
    <w:rsid w:val="00FD5904"/>
    <w:rsid w:val="00FE2C1F"/>
    <w:rsid w:val="00FE6436"/>
    <w:rsid w:val="00FE7E22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08659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Revisione">
    <w:name w:val="Revision"/>
    <w:hidden/>
    <w:uiPriority w:val="99"/>
    <w:semiHidden/>
    <w:rsid w:val="006A50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423A60B123B4299A716E28F17FD71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379B3E-EB5A-4C41-BB62-5622EC2B20DA}"/>
      </w:docPartPr>
      <w:docPartBody>
        <w:p w:rsidR="00814CC7" w:rsidRDefault="00E421DC" w:rsidP="00E421DC">
          <w:pPr>
            <w:pStyle w:val="B423A60B123B4299A716E28F17FD71A5"/>
          </w:pPr>
          <w:r w:rsidRPr="000225D1">
            <w:rPr>
              <w:rFonts w:cstheme="minorHAnsi"/>
              <w:iCs/>
              <w:color w:val="244062"/>
              <w:sz w:val="16"/>
              <w:szCs w:val="16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72F3F"/>
    <w:rsid w:val="000B7499"/>
    <w:rsid w:val="00107B20"/>
    <w:rsid w:val="001C7A47"/>
    <w:rsid w:val="00221E01"/>
    <w:rsid w:val="002744C9"/>
    <w:rsid w:val="0027754A"/>
    <w:rsid w:val="002802DF"/>
    <w:rsid w:val="00292718"/>
    <w:rsid w:val="00307A80"/>
    <w:rsid w:val="00307C34"/>
    <w:rsid w:val="00343AFF"/>
    <w:rsid w:val="00431CBB"/>
    <w:rsid w:val="00455554"/>
    <w:rsid w:val="00490935"/>
    <w:rsid w:val="00517D0E"/>
    <w:rsid w:val="00543336"/>
    <w:rsid w:val="00571E16"/>
    <w:rsid w:val="005A5338"/>
    <w:rsid w:val="00641455"/>
    <w:rsid w:val="006B3177"/>
    <w:rsid w:val="006E3C5D"/>
    <w:rsid w:val="006F7788"/>
    <w:rsid w:val="0071235A"/>
    <w:rsid w:val="00723DF5"/>
    <w:rsid w:val="00814CC7"/>
    <w:rsid w:val="0082547F"/>
    <w:rsid w:val="008E6CD0"/>
    <w:rsid w:val="009063A2"/>
    <w:rsid w:val="00934F81"/>
    <w:rsid w:val="009D7FA6"/>
    <w:rsid w:val="009F77C2"/>
    <w:rsid w:val="00A136CA"/>
    <w:rsid w:val="00B400B1"/>
    <w:rsid w:val="00BD7DCB"/>
    <w:rsid w:val="00C000F2"/>
    <w:rsid w:val="00C42F84"/>
    <w:rsid w:val="00C71402"/>
    <w:rsid w:val="00C8740A"/>
    <w:rsid w:val="00D3036A"/>
    <w:rsid w:val="00D65186"/>
    <w:rsid w:val="00D94FF4"/>
    <w:rsid w:val="00E421DC"/>
    <w:rsid w:val="00EF11ED"/>
    <w:rsid w:val="00F0617D"/>
    <w:rsid w:val="00F27FFE"/>
    <w:rsid w:val="00F8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E421DC"/>
    <w:rPr>
      <w:color w:val="808080"/>
    </w:rPr>
  </w:style>
  <w:style w:type="paragraph" w:customStyle="1" w:styleId="B423A60B123B4299A716E28F17FD71A5">
    <w:name w:val="B423A60B123B4299A716E28F17FD71A5"/>
    <w:rsid w:val="00E421DC"/>
    <w:rPr>
      <w:rFonts w:eastAsiaTheme="minorHAnsi"/>
      <w:lang w:val="it-IT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B6762-02D1-4C42-8426-CBA3F0FA4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591</Words>
  <Characters>3373</Characters>
  <Application>Microsoft Office Word</Application>
  <DocSecurity>0</DocSecurity>
  <Lines>28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Rosanna Guzzo - Uniontrasporti</cp:lastModifiedBy>
  <cp:revision>5</cp:revision>
  <cp:lastPrinted>2020-11-25T13:57:00Z</cp:lastPrinted>
  <dcterms:created xsi:type="dcterms:W3CDTF">2024-11-20T13:06:00Z</dcterms:created>
  <dcterms:modified xsi:type="dcterms:W3CDTF">2024-11-20T13:22:00Z</dcterms:modified>
</cp:coreProperties>
</file>