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BDCF8" w14:textId="77777777" w:rsidR="00F60952" w:rsidRPr="000C3118" w:rsidRDefault="00F60952" w:rsidP="00F60952">
      <w:pPr>
        <w:spacing w:after="0"/>
        <w:rPr>
          <w:rFonts w:ascii="Times New Roman" w:hAnsi="Times New Roman"/>
          <w:sz w:val="24"/>
          <w:szCs w:val="24"/>
        </w:rPr>
      </w:pPr>
    </w:p>
    <w:p w14:paraId="5458E0A6" w14:textId="77777777" w:rsidR="00F60952" w:rsidRPr="000C3118" w:rsidRDefault="00F60952" w:rsidP="00F60952">
      <w:pPr>
        <w:spacing w:after="0"/>
        <w:rPr>
          <w:rFonts w:ascii="Times New Roman" w:hAnsi="Times New Roman"/>
          <w:b/>
          <w:bCs/>
          <w:sz w:val="24"/>
          <w:szCs w:val="24"/>
        </w:rPr>
      </w:pPr>
      <w:r w:rsidRPr="000C3118">
        <w:rPr>
          <w:rFonts w:ascii="Times New Roman" w:hAnsi="Times New Roman"/>
          <w:b/>
          <w:bCs/>
          <w:sz w:val="24"/>
          <w:szCs w:val="24"/>
        </w:rPr>
        <w:t>COMUNICATO STAMPA 22 AGOSTO 2026</w:t>
      </w:r>
    </w:p>
    <w:p w14:paraId="70AF0FE0" w14:textId="77777777" w:rsidR="00F60952" w:rsidRPr="00C75C41" w:rsidRDefault="00F60952" w:rsidP="00F60952">
      <w:pPr>
        <w:spacing w:after="0"/>
        <w:rPr>
          <w:rFonts w:ascii="Times New Roman" w:hAnsi="Times New Roman"/>
        </w:rPr>
      </w:pPr>
    </w:p>
    <w:p w14:paraId="070100D6" w14:textId="77777777" w:rsidR="00F60952" w:rsidRPr="00C75C41" w:rsidRDefault="00F60952" w:rsidP="00F60952">
      <w:pPr>
        <w:spacing w:after="0"/>
        <w:jc w:val="center"/>
        <w:outlineLvl w:val="0"/>
        <w:rPr>
          <w:rFonts w:ascii="Times New Roman" w:eastAsia="Times New Roman" w:hAnsi="Times New Roman"/>
          <w:b/>
          <w:bCs/>
          <w:color w:val="0070C0"/>
          <w:kern w:val="36"/>
          <w:sz w:val="36"/>
          <w:szCs w:val="36"/>
          <w:lang w:eastAsia="it-IT"/>
        </w:rPr>
      </w:pPr>
      <w:r w:rsidRPr="00C75C41">
        <w:rPr>
          <w:rFonts w:ascii="Times New Roman" w:eastAsia="Times New Roman" w:hAnsi="Times New Roman"/>
          <w:b/>
          <w:bCs/>
          <w:color w:val="0070C0"/>
          <w:kern w:val="36"/>
          <w:sz w:val="36"/>
          <w:szCs w:val="36"/>
          <w:lang w:eastAsia="it-IT"/>
        </w:rPr>
        <w:t>Umbria, nei comuni della cultura</w:t>
      </w:r>
    </w:p>
    <w:p w14:paraId="4C89B9FA" w14:textId="2AAF108F" w:rsidR="00F60952" w:rsidRDefault="00F60952" w:rsidP="00F60952">
      <w:pPr>
        <w:spacing w:after="0"/>
        <w:jc w:val="center"/>
        <w:outlineLvl w:val="0"/>
        <w:rPr>
          <w:rFonts w:ascii="Times New Roman" w:eastAsia="Times New Roman" w:hAnsi="Times New Roman"/>
          <w:b/>
          <w:bCs/>
          <w:color w:val="0070C0"/>
          <w:kern w:val="36"/>
          <w:sz w:val="36"/>
          <w:szCs w:val="36"/>
          <w:lang w:eastAsia="it-IT"/>
        </w:rPr>
      </w:pPr>
      <w:r w:rsidRPr="00C75C41">
        <w:rPr>
          <w:rFonts w:ascii="Times New Roman" w:eastAsia="Times New Roman" w:hAnsi="Times New Roman"/>
          <w:b/>
          <w:bCs/>
          <w:color w:val="0070C0"/>
          <w:kern w:val="36"/>
          <w:sz w:val="36"/>
          <w:szCs w:val="36"/>
          <w:lang w:eastAsia="it-IT"/>
        </w:rPr>
        <w:t>redditi più alti dell’8,9%</w:t>
      </w:r>
    </w:p>
    <w:p w14:paraId="3AA3E926" w14:textId="77777777" w:rsidR="00DF76D1" w:rsidRPr="00C75C41" w:rsidRDefault="00DF76D1" w:rsidP="00DF76D1">
      <w:pPr>
        <w:spacing w:after="0"/>
        <w:jc w:val="center"/>
        <w:outlineLvl w:val="1"/>
        <w:rPr>
          <w:rFonts w:ascii="Times New Roman" w:eastAsia="Times New Roman" w:hAnsi="Times New Roman"/>
          <w:b/>
          <w:bCs/>
          <w:color w:val="0070C0"/>
          <w:sz w:val="30"/>
          <w:szCs w:val="30"/>
          <w:lang w:eastAsia="it-IT"/>
        </w:rPr>
      </w:pPr>
      <w:r w:rsidRPr="00C75C41">
        <w:rPr>
          <w:rFonts w:ascii="Times New Roman" w:eastAsia="Times New Roman" w:hAnsi="Times New Roman"/>
          <w:b/>
          <w:bCs/>
          <w:color w:val="0070C0"/>
          <w:sz w:val="30"/>
          <w:szCs w:val="30"/>
          <w:lang w:eastAsia="it-IT"/>
        </w:rPr>
        <w:t>Ma tolte Perugia, Terni e Foligno</w:t>
      </w:r>
    </w:p>
    <w:p w14:paraId="202B09AD" w14:textId="77777777" w:rsidR="00DF76D1" w:rsidRDefault="00DF76D1" w:rsidP="00DF76D1">
      <w:pPr>
        <w:spacing w:after="0"/>
        <w:jc w:val="center"/>
        <w:outlineLvl w:val="1"/>
        <w:rPr>
          <w:rFonts w:ascii="Times New Roman" w:eastAsia="Times New Roman" w:hAnsi="Times New Roman"/>
          <w:b/>
          <w:bCs/>
          <w:color w:val="0070C0"/>
          <w:sz w:val="30"/>
          <w:szCs w:val="30"/>
          <w:lang w:eastAsia="it-IT"/>
        </w:rPr>
      </w:pPr>
      <w:r w:rsidRPr="00C75C41">
        <w:rPr>
          <w:rFonts w:ascii="Times New Roman" w:eastAsia="Times New Roman" w:hAnsi="Times New Roman"/>
          <w:b/>
          <w:bCs/>
          <w:color w:val="0070C0"/>
          <w:sz w:val="30"/>
          <w:szCs w:val="30"/>
          <w:lang w:eastAsia="it-IT"/>
        </w:rPr>
        <w:t>il vantaggio scende al 4,2%</w:t>
      </w:r>
      <w:r>
        <w:rPr>
          <w:rFonts w:ascii="Times New Roman" w:eastAsia="Times New Roman" w:hAnsi="Times New Roman"/>
          <w:b/>
          <w:bCs/>
          <w:color w:val="0070C0"/>
          <w:sz w:val="30"/>
          <w:szCs w:val="30"/>
          <w:lang w:eastAsia="it-IT"/>
        </w:rPr>
        <w:t xml:space="preserve"> </w:t>
      </w:r>
    </w:p>
    <w:p w14:paraId="462A0953" w14:textId="1BBBB8EF" w:rsidR="00DF76D1" w:rsidRDefault="00DF76D1" w:rsidP="00DF76D1">
      <w:pPr>
        <w:spacing w:after="0"/>
        <w:jc w:val="center"/>
        <w:outlineLvl w:val="1"/>
        <w:rPr>
          <w:rFonts w:ascii="Times New Roman" w:eastAsia="Times New Roman" w:hAnsi="Times New Roman"/>
          <w:b/>
          <w:bCs/>
          <w:color w:val="0070C0"/>
          <w:sz w:val="30"/>
          <w:szCs w:val="30"/>
          <w:lang w:eastAsia="it-IT"/>
        </w:rPr>
      </w:pPr>
      <w:r>
        <w:rPr>
          <w:rFonts w:ascii="Times New Roman" w:eastAsia="Times New Roman" w:hAnsi="Times New Roman"/>
          <w:b/>
          <w:bCs/>
          <w:color w:val="0070C0"/>
          <w:sz w:val="30"/>
          <w:szCs w:val="30"/>
          <w:lang w:eastAsia="it-IT"/>
        </w:rPr>
        <w:t>Intanto la r</w:t>
      </w:r>
      <w:r w:rsidR="00F60952" w:rsidRPr="00C75C41">
        <w:rPr>
          <w:rFonts w:ascii="Times New Roman" w:eastAsia="Times New Roman" w:hAnsi="Times New Roman"/>
          <w:b/>
          <w:bCs/>
          <w:color w:val="0070C0"/>
          <w:sz w:val="30"/>
          <w:szCs w:val="30"/>
          <w:lang w:eastAsia="it-IT"/>
        </w:rPr>
        <w:t>egione è prima in Italia</w:t>
      </w:r>
    </w:p>
    <w:p w14:paraId="5AB09A6A" w14:textId="62657571" w:rsidR="00F60952" w:rsidRDefault="00DF76D1" w:rsidP="00F60952">
      <w:pPr>
        <w:spacing w:after="0"/>
        <w:jc w:val="center"/>
        <w:outlineLvl w:val="1"/>
        <w:rPr>
          <w:rFonts w:ascii="Times New Roman" w:eastAsia="Times New Roman" w:hAnsi="Times New Roman"/>
          <w:b/>
          <w:bCs/>
          <w:color w:val="0070C0"/>
          <w:sz w:val="30"/>
          <w:szCs w:val="30"/>
          <w:lang w:eastAsia="it-IT"/>
        </w:rPr>
      </w:pPr>
      <w:r>
        <w:rPr>
          <w:rFonts w:ascii="Times New Roman" w:eastAsia="Times New Roman" w:hAnsi="Times New Roman"/>
          <w:b/>
          <w:bCs/>
          <w:color w:val="0070C0"/>
          <w:sz w:val="30"/>
          <w:szCs w:val="30"/>
          <w:lang w:eastAsia="it-IT"/>
        </w:rPr>
        <w:t>per densità di comuni culturali:</w:t>
      </w:r>
    </w:p>
    <w:p w14:paraId="4420B23E" w14:textId="1DD589B6" w:rsidR="00F60952" w:rsidRPr="00C75C41" w:rsidRDefault="00F60952" w:rsidP="00F60952">
      <w:pPr>
        <w:spacing w:after="0"/>
        <w:jc w:val="center"/>
        <w:outlineLvl w:val="1"/>
        <w:rPr>
          <w:rFonts w:ascii="Times New Roman" w:eastAsia="Times New Roman" w:hAnsi="Times New Roman"/>
          <w:b/>
          <w:bCs/>
          <w:color w:val="0070C0"/>
          <w:sz w:val="30"/>
          <w:szCs w:val="30"/>
          <w:lang w:eastAsia="it-IT"/>
        </w:rPr>
      </w:pPr>
      <w:r w:rsidRPr="00C75C41">
        <w:rPr>
          <w:rFonts w:ascii="Times New Roman" w:eastAsia="Times New Roman" w:hAnsi="Times New Roman"/>
          <w:b/>
          <w:bCs/>
          <w:color w:val="0070C0"/>
          <w:sz w:val="30"/>
          <w:szCs w:val="30"/>
          <w:lang w:eastAsia="it-IT"/>
        </w:rPr>
        <w:t xml:space="preserve">41 </w:t>
      </w:r>
      <w:r w:rsidR="00DF76D1">
        <w:rPr>
          <w:rFonts w:ascii="Times New Roman" w:eastAsia="Times New Roman" w:hAnsi="Times New Roman"/>
          <w:b/>
          <w:bCs/>
          <w:color w:val="0070C0"/>
          <w:sz w:val="30"/>
          <w:szCs w:val="30"/>
          <w:lang w:eastAsia="it-IT"/>
        </w:rPr>
        <w:t xml:space="preserve">municipi </w:t>
      </w:r>
      <w:r w:rsidRPr="00C75C41">
        <w:rPr>
          <w:rFonts w:ascii="Times New Roman" w:eastAsia="Times New Roman" w:hAnsi="Times New Roman"/>
          <w:b/>
          <w:bCs/>
          <w:color w:val="0070C0"/>
          <w:sz w:val="30"/>
          <w:szCs w:val="30"/>
          <w:lang w:eastAsia="it-IT"/>
        </w:rPr>
        <w:t>su 92</w:t>
      </w:r>
    </w:p>
    <w:p w14:paraId="3DE175E2" w14:textId="77777777" w:rsidR="00F60952" w:rsidRDefault="00F60952" w:rsidP="00F60952">
      <w:pPr>
        <w:spacing w:after="0"/>
        <w:rPr>
          <w:rFonts w:ascii="Times New Roman" w:eastAsia="Times New Roman" w:hAnsi="Times New Roman"/>
          <w:b/>
          <w:bCs/>
          <w:i/>
          <w:iCs/>
          <w:lang w:eastAsia="it-IT"/>
        </w:rPr>
      </w:pPr>
    </w:p>
    <w:p w14:paraId="0D74338D" w14:textId="77777777" w:rsidR="00F60952" w:rsidRPr="00C75C41" w:rsidRDefault="00F60952" w:rsidP="00F60952">
      <w:pPr>
        <w:spacing w:after="0"/>
        <w:rPr>
          <w:rFonts w:ascii="Times New Roman" w:eastAsia="Times New Roman" w:hAnsi="Times New Roman"/>
          <w:color w:val="0070C0"/>
          <w:lang w:eastAsia="it-IT"/>
        </w:rPr>
      </w:pPr>
      <w:r w:rsidRPr="00C75C41">
        <w:rPr>
          <w:rFonts w:ascii="Times New Roman" w:eastAsia="Times New Roman" w:hAnsi="Times New Roman"/>
          <w:b/>
          <w:bCs/>
          <w:i/>
          <w:iCs/>
          <w:color w:val="0070C0"/>
          <w:lang w:eastAsia="it-IT"/>
        </w:rPr>
        <w:t>Il reddito imponibile medio è di 24.280 euro nei territori a vocazione culturale contro 22.288 negli altri 51 comuni umbri. Il Perugino registra un vantaggio dell’8,5%, il Ternano del 10,3%. Ma soltanto 8 comuni culturali superano la media regionale, 3 quella italiana e appena 2 quella del Centro.</w:t>
      </w:r>
    </w:p>
    <w:p w14:paraId="3DEA5089" w14:textId="77777777" w:rsidR="00F60952" w:rsidRDefault="00F60952" w:rsidP="00F60952">
      <w:pPr>
        <w:spacing w:after="0"/>
        <w:rPr>
          <w:rFonts w:ascii="Times New Roman" w:eastAsia="Times New Roman" w:hAnsi="Times New Roman"/>
          <w:b/>
          <w:bCs/>
          <w:lang w:eastAsia="it-IT"/>
        </w:rPr>
      </w:pPr>
    </w:p>
    <w:p w14:paraId="612066F8"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b/>
          <w:bCs/>
          <w:lang w:eastAsia="it-IT"/>
        </w:rPr>
        <w:t>La dichiarazione</w:t>
      </w:r>
    </w:p>
    <w:p w14:paraId="331B11B6"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b/>
          <w:bCs/>
          <w:lang w:eastAsia="it-IT"/>
        </w:rPr>
        <w:t>Giorgio Mencaroni, presidente della Camera di commercio dell’Umbria:</w:t>
      </w:r>
    </w:p>
    <w:p w14:paraId="30832FE3"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i/>
          <w:iCs/>
          <w:lang w:eastAsia="it-IT"/>
        </w:rPr>
        <w:t>“La cultura diventa una risorsa economica quando riesce a generare impresa, lavoro e servizi, non soltanto visitatori. Il dato più interessante è che il vantaggio dei comuni culturali rimane positivo anche senza Perugia, Terni e Foligno: significa che il tema riguarda l’intero territorio. Allo stesso tempo, la distanza che ancora separa molti piccoli centri dai livelli di reddito più elevati ci ricorda che il patrimonio, da solo, non basta. Per la Camera di commercio la sfida è contribuire a mettere in relazione cultura, turismo, commercio, artigianato, produzioni locali e competenze, affinché un’identità straordinariamente diffusa diventi anche un’opportunità economica più diffusa e duratura.”</w:t>
      </w:r>
    </w:p>
    <w:p w14:paraId="33D0D6DB" w14:textId="77777777" w:rsidR="00F60952" w:rsidRDefault="00F60952" w:rsidP="00F60952">
      <w:pPr>
        <w:spacing w:after="0"/>
        <w:rPr>
          <w:rFonts w:ascii="Times New Roman" w:eastAsia="Times New Roman" w:hAnsi="Times New Roman"/>
          <w:lang w:eastAsia="it-IT"/>
        </w:rPr>
      </w:pPr>
    </w:p>
    <w:p w14:paraId="6DCF5CA8" w14:textId="77777777" w:rsidR="00F60952"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Nei comuni umbri a vocazione culturale il </w:t>
      </w:r>
      <w:r w:rsidRPr="00C75C41">
        <w:rPr>
          <w:rFonts w:ascii="Times New Roman" w:eastAsia="Times New Roman" w:hAnsi="Times New Roman"/>
          <w:b/>
          <w:bCs/>
          <w:lang w:eastAsia="it-IT"/>
        </w:rPr>
        <w:t>reddito imponibile medio è quasi duemila euro più alto</w:t>
      </w:r>
      <w:r w:rsidRPr="00C75C41">
        <w:rPr>
          <w:rFonts w:ascii="Times New Roman" w:eastAsia="Times New Roman" w:hAnsi="Times New Roman"/>
          <w:lang w:eastAsia="it-IT"/>
        </w:rPr>
        <w:t xml:space="preserve"> rispetto agli altri territori della regione. Sono </w:t>
      </w:r>
      <w:r w:rsidRPr="00C75C41">
        <w:rPr>
          <w:rFonts w:ascii="Times New Roman" w:eastAsia="Times New Roman" w:hAnsi="Times New Roman"/>
          <w:b/>
          <w:bCs/>
          <w:lang w:eastAsia="it-IT"/>
        </w:rPr>
        <w:t>24.280 euro contro 22.288</w:t>
      </w:r>
      <w:r w:rsidRPr="00C75C41">
        <w:rPr>
          <w:rFonts w:ascii="Times New Roman" w:eastAsia="Times New Roman" w:hAnsi="Times New Roman"/>
          <w:lang w:eastAsia="it-IT"/>
        </w:rPr>
        <w:t>, una differenza di 1.992 euro per contribuente con reddito imponibile, pari all’</w:t>
      </w:r>
      <w:r w:rsidRPr="00C75C41">
        <w:rPr>
          <w:rFonts w:ascii="Times New Roman" w:eastAsia="Times New Roman" w:hAnsi="Times New Roman"/>
          <w:b/>
          <w:bCs/>
          <w:lang w:eastAsia="it-IT"/>
        </w:rPr>
        <w:t>8,9%</w:t>
      </w:r>
      <w:r w:rsidRPr="00C75C41">
        <w:rPr>
          <w:rFonts w:ascii="Times New Roman" w:eastAsia="Times New Roman" w:hAnsi="Times New Roman"/>
          <w:lang w:eastAsia="it-IT"/>
        </w:rPr>
        <w:t xml:space="preserve">. </w:t>
      </w:r>
    </w:p>
    <w:p w14:paraId="472295B6"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E proprio l’Umbria presenta un’altra particolarità: </w:t>
      </w:r>
      <w:r w:rsidRPr="00C75C41">
        <w:rPr>
          <w:rFonts w:ascii="Times New Roman" w:eastAsia="Times New Roman" w:hAnsi="Times New Roman"/>
          <w:b/>
          <w:bCs/>
          <w:lang w:eastAsia="it-IT"/>
        </w:rPr>
        <w:t>41 comuni su 92, il 44,6%, appartengono alle categorie del turismo culturale individuate dall’Istat (Istituto nazionale di statistica)</w:t>
      </w:r>
      <w:r w:rsidRPr="00C75C41">
        <w:rPr>
          <w:rFonts w:ascii="Times New Roman" w:eastAsia="Times New Roman" w:hAnsi="Times New Roman"/>
          <w:lang w:eastAsia="it-IT"/>
        </w:rPr>
        <w:t>. È la percentuale più elevata tra le regioni italiane.</w:t>
      </w:r>
    </w:p>
    <w:p w14:paraId="14D64A8D" w14:textId="77777777" w:rsidR="00F60952" w:rsidRDefault="00F60952" w:rsidP="00F60952">
      <w:pPr>
        <w:spacing w:after="0"/>
        <w:rPr>
          <w:rFonts w:ascii="Times New Roman" w:eastAsia="Times New Roman" w:hAnsi="Times New Roman"/>
          <w:lang w:eastAsia="it-IT"/>
        </w:rPr>
      </w:pPr>
    </w:p>
    <w:p w14:paraId="7BF6B81E"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L’incrocio fra la classificazione territoriale dell’Istat e i dati più recenti del Ministero dell’Economia e delle Finanze, tratti dalle dichiarazioni presentate nel 2025 e riferiti all’anno d’imposta 2024, disegna però una realtà meno uniforme di quanto il primo numero lasci immaginare. Il vantaggio dei comuni culturali esiste, ma una parte importante nasce nelle città e nei centri economicamente più strutturati. </w:t>
      </w:r>
      <w:r w:rsidRPr="00C75C41">
        <w:rPr>
          <w:rFonts w:ascii="Times New Roman" w:eastAsia="Times New Roman" w:hAnsi="Times New Roman"/>
          <w:b/>
          <w:bCs/>
          <w:lang w:eastAsia="it-IT"/>
        </w:rPr>
        <w:t>Se dal gruppo vengono esclusi Perugia, Terni e Foligno, il differenziale rispetto agli altri 51 comuni umbri non scompare, ma scende dall’8,9% al 4,2%.</w:t>
      </w:r>
    </w:p>
    <w:p w14:paraId="4302603E" w14:textId="77777777" w:rsidR="00F60952" w:rsidRDefault="00F60952" w:rsidP="00F60952">
      <w:pPr>
        <w:spacing w:after="0"/>
        <w:rPr>
          <w:rFonts w:ascii="Times New Roman" w:eastAsia="Times New Roman" w:hAnsi="Times New Roman"/>
          <w:lang w:eastAsia="it-IT"/>
        </w:rPr>
      </w:pPr>
    </w:p>
    <w:p w14:paraId="4D33026A"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È uno dei risultati dell’elaborazione che l’Ufficio Stampa e Comunicazione della </w:t>
      </w:r>
      <w:r w:rsidRPr="00C75C41">
        <w:rPr>
          <w:rFonts w:ascii="Times New Roman" w:eastAsia="Times New Roman" w:hAnsi="Times New Roman"/>
          <w:b/>
          <w:bCs/>
          <w:lang w:eastAsia="it-IT"/>
        </w:rPr>
        <w:t>Camera di commercio dell’Umbria</w:t>
      </w:r>
      <w:r w:rsidRPr="00C75C41">
        <w:rPr>
          <w:rFonts w:ascii="Times New Roman" w:eastAsia="Times New Roman" w:hAnsi="Times New Roman"/>
          <w:lang w:eastAsia="it-IT"/>
        </w:rPr>
        <w:t xml:space="preserve"> ha svolto per verificare non quanto valga in senso stretto l’industria </w:t>
      </w:r>
      <w:r w:rsidRPr="00C75C41">
        <w:rPr>
          <w:rFonts w:ascii="Times New Roman" w:eastAsia="Times New Roman" w:hAnsi="Times New Roman"/>
          <w:lang w:eastAsia="it-IT"/>
        </w:rPr>
        <w:lastRenderedPageBreak/>
        <w:t xml:space="preserve">culturale </w:t>
      </w:r>
      <w:r>
        <w:rPr>
          <w:rFonts w:ascii="Times New Roman" w:eastAsia="Times New Roman" w:hAnsi="Times New Roman"/>
          <w:lang w:eastAsia="it-IT"/>
        </w:rPr>
        <w:t xml:space="preserve">- </w:t>
      </w:r>
      <w:r w:rsidRPr="00C75C41">
        <w:rPr>
          <w:rFonts w:ascii="Times New Roman" w:eastAsia="Times New Roman" w:hAnsi="Times New Roman"/>
          <w:lang w:eastAsia="it-IT"/>
        </w:rPr>
        <w:t xml:space="preserve">oggetto di altre ricerche nazionali e di precedenti report dell’Ente camerale </w:t>
      </w:r>
      <w:r>
        <w:rPr>
          <w:rFonts w:ascii="Times New Roman" w:eastAsia="Times New Roman" w:hAnsi="Times New Roman"/>
          <w:lang w:eastAsia="it-IT"/>
        </w:rPr>
        <w:t xml:space="preserve">- </w:t>
      </w:r>
      <w:r w:rsidRPr="00C75C41">
        <w:rPr>
          <w:rFonts w:ascii="Times New Roman" w:eastAsia="Times New Roman" w:hAnsi="Times New Roman"/>
          <w:lang w:eastAsia="it-IT"/>
        </w:rPr>
        <w:t>ma se nei territori nei quali cultura, patrimonio storico, arte e paesaggio rappresentano una componente della vocazione economico-turistica si osservino anche differenze nei redditi.</w:t>
      </w:r>
    </w:p>
    <w:p w14:paraId="38F078D2" w14:textId="77777777" w:rsidR="00F60952" w:rsidRDefault="00F60952" w:rsidP="00F60952">
      <w:pPr>
        <w:spacing w:after="0"/>
        <w:rPr>
          <w:rFonts w:ascii="Times New Roman" w:eastAsia="Times New Roman" w:hAnsi="Times New Roman"/>
          <w:lang w:eastAsia="it-IT"/>
        </w:rPr>
      </w:pPr>
    </w:p>
    <w:p w14:paraId="7C57E1BC" w14:textId="77777777" w:rsidR="00F60952"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Il primato territoriale dell’Umbria è significativo. Nella classificazione Istat riferita al 2019, </w:t>
      </w:r>
      <w:r w:rsidRPr="00C75C41">
        <w:rPr>
          <w:rFonts w:ascii="Times New Roman" w:eastAsia="Times New Roman" w:hAnsi="Times New Roman"/>
          <w:b/>
          <w:bCs/>
          <w:lang w:eastAsia="it-IT"/>
        </w:rPr>
        <w:t>41 dei 92 comuni umbri rientrano nelle categorie del turismo culturale, il 44,6%</w:t>
      </w:r>
      <w:r w:rsidRPr="00C75C41">
        <w:rPr>
          <w:rFonts w:ascii="Times New Roman" w:eastAsia="Times New Roman" w:hAnsi="Times New Roman"/>
          <w:lang w:eastAsia="it-IT"/>
        </w:rPr>
        <w:t xml:space="preserve">. In Toscana sono 119 su 273, il 43,6%; in Trentino-Alto Adige 103 su 291, il 35,4%; nelle Marche 55 su 228, il 24,1%. In Italia sono 1.026 su 7.926, circa il 12,9%. </w:t>
      </w:r>
    </w:p>
    <w:p w14:paraId="527BD425"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Non è una graduatoria della “bellezza”: l’Istat costruisce le categorie considerando vocazione territoriale, patrimonio, caratteristiche geografiche e antropiche, flussi e attività legate al turismo.</w:t>
      </w:r>
    </w:p>
    <w:p w14:paraId="73866A2D"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Quasi metà della geografia comunale umbra presenta dunque una componente culturale riconoscibile. Ma la distribuzione del reddito mostra che </w:t>
      </w:r>
      <w:r w:rsidRPr="00C75C41">
        <w:rPr>
          <w:rFonts w:ascii="Times New Roman" w:eastAsia="Times New Roman" w:hAnsi="Times New Roman"/>
          <w:b/>
          <w:bCs/>
          <w:lang w:eastAsia="it-IT"/>
        </w:rPr>
        <w:t>possedere patrimonio e trasformarlo in capacità economica non sono la stessa cosa</w:t>
      </w:r>
      <w:r w:rsidRPr="00C75C41">
        <w:rPr>
          <w:rFonts w:ascii="Times New Roman" w:eastAsia="Times New Roman" w:hAnsi="Times New Roman"/>
          <w:lang w:eastAsia="it-IT"/>
        </w:rPr>
        <w:t>.</w:t>
      </w:r>
    </w:p>
    <w:p w14:paraId="06A43F48" w14:textId="77777777" w:rsidR="00F60952" w:rsidRDefault="00F60952" w:rsidP="00F60952">
      <w:pPr>
        <w:spacing w:after="0"/>
        <w:rPr>
          <w:rFonts w:ascii="Times New Roman" w:eastAsia="Times New Roman" w:hAnsi="Times New Roman"/>
          <w:lang w:eastAsia="it-IT"/>
        </w:rPr>
      </w:pPr>
    </w:p>
    <w:p w14:paraId="661C553E"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Nei 41 comuni culturali il reddito imponibile medio di </w:t>
      </w:r>
      <w:r w:rsidRPr="00C75C41">
        <w:rPr>
          <w:rFonts w:ascii="Times New Roman" w:eastAsia="Times New Roman" w:hAnsi="Times New Roman"/>
          <w:b/>
          <w:bCs/>
          <w:lang w:eastAsia="it-IT"/>
        </w:rPr>
        <w:t>24.280 euro</w:t>
      </w:r>
      <w:r w:rsidRPr="00C75C41">
        <w:rPr>
          <w:rFonts w:ascii="Times New Roman" w:eastAsia="Times New Roman" w:hAnsi="Times New Roman"/>
          <w:lang w:eastAsia="it-IT"/>
        </w:rPr>
        <w:t xml:space="preserve"> supera di 423 euro quello dell’intera Umbria, pari a 23.857 euro. È anche più alto della media marchigiana, 23.641 euro. Rimane invece al di sotto dell’Italia, che raggiunge 24.893 euro, della Toscana, 25.166, e soprattutto del </w:t>
      </w:r>
      <w:r w:rsidRPr="00C75C41">
        <w:rPr>
          <w:rFonts w:ascii="Times New Roman" w:eastAsia="Times New Roman" w:hAnsi="Times New Roman"/>
          <w:b/>
          <w:bCs/>
          <w:lang w:eastAsia="it-IT"/>
        </w:rPr>
        <w:t>Centro Italia — Toscana, Umbria, Marche e Lazio — dove la media arriva a 25.656 euro</w:t>
      </w:r>
      <w:r w:rsidRPr="00C75C41">
        <w:rPr>
          <w:rFonts w:ascii="Times New Roman" w:eastAsia="Times New Roman" w:hAnsi="Times New Roman"/>
          <w:lang w:eastAsia="it-IT"/>
        </w:rPr>
        <w:t>.</w:t>
      </w:r>
    </w:p>
    <w:p w14:paraId="67FF0C2E" w14:textId="77777777" w:rsidR="00F60952" w:rsidRDefault="00F60952" w:rsidP="00F60952">
      <w:pPr>
        <w:spacing w:after="0"/>
        <w:rPr>
          <w:rFonts w:ascii="Times New Roman" w:eastAsia="Times New Roman" w:hAnsi="Times New Roman"/>
          <w:lang w:eastAsia="it-IT"/>
        </w:rPr>
      </w:pPr>
    </w:p>
    <w:p w14:paraId="3E8326B0"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Il confronto tra le due province offre un’altra indicazione interessante. Nei </w:t>
      </w:r>
      <w:r w:rsidRPr="00C75C41">
        <w:rPr>
          <w:rFonts w:ascii="Times New Roman" w:eastAsia="Times New Roman" w:hAnsi="Times New Roman"/>
          <w:b/>
          <w:bCs/>
          <w:lang w:eastAsia="it-IT"/>
        </w:rPr>
        <w:t>31 comuni culturali della provincia di Perugia</w:t>
      </w:r>
      <w:r w:rsidRPr="00C75C41">
        <w:rPr>
          <w:rFonts w:ascii="Times New Roman" w:eastAsia="Times New Roman" w:hAnsi="Times New Roman"/>
          <w:lang w:eastAsia="it-IT"/>
        </w:rPr>
        <w:t xml:space="preserve"> il reddito imponibile medio è di </w:t>
      </w:r>
      <w:r w:rsidRPr="00C75C41">
        <w:rPr>
          <w:rFonts w:ascii="Times New Roman" w:eastAsia="Times New Roman" w:hAnsi="Times New Roman"/>
          <w:b/>
          <w:bCs/>
          <w:lang w:eastAsia="it-IT"/>
        </w:rPr>
        <w:t>24.372 euro</w:t>
      </w:r>
      <w:r w:rsidRPr="00C75C41">
        <w:rPr>
          <w:rFonts w:ascii="Times New Roman" w:eastAsia="Times New Roman" w:hAnsi="Times New Roman"/>
          <w:lang w:eastAsia="it-IT"/>
        </w:rPr>
        <w:t xml:space="preserve">, contro 22.455 negli altri 28 comuni: </w:t>
      </w:r>
      <w:r w:rsidRPr="00C75C41">
        <w:rPr>
          <w:rFonts w:ascii="Times New Roman" w:eastAsia="Times New Roman" w:hAnsi="Times New Roman"/>
          <w:b/>
          <w:bCs/>
          <w:lang w:eastAsia="it-IT"/>
        </w:rPr>
        <w:t>1.917 euro in più, l’8,5%</w:t>
      </w:r>
      <w:r w:rsidRPr="00C75C41">
        <w:rPr>
          <w:rFonts w:ascii="Times New Roman" w:eastAsia="Times New Roman" w:hAnsi="Times New Roman"/>
          <w:lang w:eastAsia="it-IT"/>
        </w:rPr>
        <w:t xml:space="preserve">. Nel Ternano i </w:t>
      </w:r>
      <w:r w:rsidRPr="00C75C41">
        <w:rPr>
          <w:rFonts w:ascii="Times New Roman" w:eastAsia="Times New Roman" w:hAnsi="Times New Roman"/>
          <w:b/>
          <w:bCs/>
          <w:lang w:eastAsia="it-IT"/>
        </w:rPr>
        <w:t>10 comuni culturali</w:t>
      </w:r>
      <w:r w:rsidRPr="00C75C41">
        <w:rPr>
          <w:rFonts w:ascii="Times New Roman" w:eastAsia="Times New Roman" w:hAnsi="Times New Roman"/>
          <w:lang w:eastAsia="it-IT"/>
        </w:rPr>
        <w:t xml:space="preserve"> arrivano a </w:t>
      </w:r>
      <w:r w:rsidRPr="00C75C41">
        <w:rPr>
          <w:rFonts w:ascii="Times New Roman" w:eastAsia="Times New Roman" w:hAnsi="Times New Roman"/>
          <w:b/>
          <w:bCs/>
          <w:lang w:eastAsia="it-IT"/>
        </w:rPr>
        <w:t>24.005 euro</w:t>
      </w:r>
      <w:r w:rsidRPr="00C75C41">
        <w:rPr>
          <w:rFonts w:ascii="Times New Roman" w:eastAsia="Times New Roman" w:hAnsi="Times New Roman"/>
          <w:lang w:eastAsia="it-IT"/>
        </w:rPr>
        <w:t xml:space="preserve">, mentre gli altri 23 si fermano a 21.773. Qui la distanza sale a </w:t>
      </w:r>
      <w:r w:rsidRPr="00C75C41">
        <w:rPr>
          <w:rFonts w:ascii="Times New Roman" w:eastAsia="Times New Roman" w:hAnsi="Times New Roman"/>
          <w:b/>
          <w:bCs/>
          <w:lang w:eastAsia="it-IT"/>
        </w:rPr>
        <w:t>2.233 euro, il 10,3%</w:t>
      </w:r>
      <w:r w:rsidRPr="00C75C41">
        <w:rPr>
          <w:rFonts w:ascii="Times New Roman" w:eastAsia="Times New Roman" w:hAnsi="Times New Roman"/>
          <w:lang w:eastAsia="it-IT"/>
        </w:rPr>
        <w:t>. Il vantaggio relativo dei territori culturali è dunque maggiore nella provincia di Terni.</w:t>
      </w:r>
    </w:p>
    <w:p w14:paraId="48700FF2"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È quando si passa dalle province ai singoli comuni che il quadro cambia ancora.</w:t>
      </w:r>
    </w:p>
    <w:p w14:paraId="0E2080DF"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Dei </w:t>
      </w:r>
      <w:r w:rsidRPr="00C75C41">
        <w:rPr>
          <w:rFonts w:ascii="Times New Roman" w:eastAsia="Times New Roman" w:hAnsi="Times New Roman"/>
          <w:b/>
          <w:bCs/>
          <w:lang w:eastAsia="it-IT"/>
        </w:rPr>
        <w:t>41 territori culturali soltanto otto superano il reddito imponibile medio dell’Umbria</w:t>
      </w:r>
      <w:r w:rsidRPr="00C75C41">
        <w:rPr>
          <w:rFonts w:ascii="Times New Roman" w:eastAsia="Times New Roman" w:hAnsi="Times New Roman"/>
          <w:lang w:eastAsia="it-IT"/>
        </w:rPr>
        <w:t xml:space="preserve">: Corciano, Perugia, San Gemini, Torgiano, Terni, Foligno, Orvieto e Todi. Appena </w:t>
      </w:r>
      <w:r w:rsidRPr="00C75C41">
        <w:rPr>
          <w:rFonts w:ascii="Times New Roman" w:eastAsia="Times New Roman" w:hAnsi="Times New Roman"/>
          <w:b/>
          <w:bCs/>
          <w:lang w:eastAsia="it-IT"/>
        </w:rPr>
        <w:t xml:space="preserve">tre </w:t>
      </w:r>
      <w:r>
        <w:rPr>
          <w:rFonts w:ascii="Times New Roman" w:eastAsia="Times New Roman" w:hAnsi="Times New Roman"/>
          <w:b/>
          <w:bCs/>
          <w:lang w:eastAsia="it-IT"/>
        </w:rPr>
        <w:t xml:space="preserve">- </w:t>
      </w:r>
      <w:r w:rsidRPr="00C75C41">
        <w:rPr>
          <w:rFonts w:ascii="Times New Roman" w:eastAsia="Times New Roman" w:hAnsi="Times New Roman"/>
          <w:b/>
          <w:bCs/>
          <w:lang w:eastAsia="it-IT"/>
        </w:rPr>
        <w:t xml:space="preserve">Corciano, Perugia e San Gemini </w:t>
      </w:r>
      <w:r>
        <w:rPr>
          <w:rFonts w:ascii="Times New Roman" w:eastAsia="Times New Roman" w:hAnsi="Times New Roman"/>
          <w:b/>
          <w:bCs/>
          <w:lang w:eastAsia="it-IT"/>
        </w:rPr>
        <w:t xml:space="preserve">- </w:t>
      </w:r>
      <w:r w:rsidRPr="00C75C41">
        <w:rPr>
          <w:rFonts w:ascii="Times New Roman" w:eastAsia="Times New Roman" w:hAnsi="Times New Roman"/>
          <w:b/>
          <w:bCs/>
          <w:lang w:eastAsia="it-IT"/>
        </w:rPr>
        <w:t>superano la media italiana</w:t>
      </w:r>
      <w:r w:rsidRPr="00C75C41">
        <w:rPr>
          <w:rFonts w:ascii="Times New Roman" w:eastAsia="Times New Roman" w:hAnsi="Times New Roman"/>
          <w:lang w:eastAsia="it-IT"/>
        </w:rPr>
        <w:t xml:space="preserve">. Soltanto </w:t>
      </w:r>
      <w:r w:rsidRPr="00C75C41">
        <w:rPr>
          <w:rFonts w:ascii="Times New Roman" w:eastAsia="Times New Roman" w:hAnsi="Times New Roman"/>
          <w:b/>
          <w:bCs/>
          <w:lang w:eastAsia="it-IT"/>
        </w:rPr>
        <w:t>Corciano e Perugia</w:t>
      </w:r>
      <w:r w:rsidRPr="00C75C41">
        <w:rPr>
          <w:rFonts w:ascii="Times New Roman" w:eastAsia="Times New Roman" w:hAnsi="Times New Roman"/>
          <w:lang w:eastAsia="it-IT"/>
        </w:rPr>
        <w:t xml:space="preserve"> vanno oltre quella del Centro.</w:t>
      </w:r>
    </w:p>
    <w:p w14:paraId="0FFCA935"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Al vertice della graduatoria c’è </w:t>
      </w:r>
      <w:r w:rsidRPr="00C75C41">
        <w:rPr>
          <w:rFonts w:ascii="Times New Roman" w:eastAsia="Times New Roman" w:hAnsi="Times New Roman"/>
          <w:b/>
          <w:bCs/>
          <w:lang w:eastAsia="it-IT"/>
        </w:rPr>
        <w:t>Corciano con 26.751 euro</w:t>
      </w:r>
      <w:r w:rsidRPr="00C75C41">
        <w:rPr>
          <w:rFonts w:ascii="Times New Roman" w:eastAsia="Times New Roman" w:hAnsi="Times New Roman"/>
          <w:lang w:eastAsia="it-IT"/>
        </w:rPr>
        <w:t xml:space="preserve">, seguito da </w:t>
      </w:r>
      <w:r w:rsidRPr="00C75C41">
        <w:rPr>
          <w:rFonts w:ascii="Times New Roman" w:eastAsia="Times New Roman" w:hAnsi="Times New Roman"/>
          <w:b/>
          <w:bCs/>
          <w:lang w:eastAsia="it-IT"/>
        </w:rPr>
        <w:t>Perugia con 26.446</w:t>
      </w:r>
      <w:r w:rsidRPr="00C75C41">
        <w:rPr>
          <w:rFonts w:ascii="Times New Roman" w:eastAsia="Times New Roman" w:hAnsi="Times New Roman"/>
          <w:lang w:eastAsia="it-IT"/>
        </w:rPr>
        <w:t xml:space="preserve"> e </w:t>
      </w:r>
      <w:r w:rsidRPr="00C75C41">
        <w:rPr>
          <w:rFonts w:ascii="Times New Roman" w:eastAsia="Times New Roman" w:hAnsi="Times New Roman"/>
          <w:b/>
          <w:bCs/>
          <w:lang w:eastAsia="it-IT"/>
        </w:rPr>
        <w:t>San Gemini con 25.390</w:t>
      </w:r>
      <w:r w:rsidRPr="00C75C41">
        <w:rPr>
          <w:rFonts w:ascii="Times New Roman" w:eastAsia="Times New Roman" w:hAnsi="Times New Roman"/>
          <w:lang w:eastAsia="it-IT"/>
        </w:rPr>
        <w:t xml:space="preserve">. Seguono Torgiano, Terni, Foligno e Orvieto. Nella parte opposta della classifica si incontrano soprattutto piccoli centri delle aree interne: </w:t>
      </w:r>
      <w:r w:rsidRPr="00C75C41">
        <w:rPr>
          <w:rFonts w:ascii="Times New Roman" w:eastAsia="Times New Roman" w:hAnsi="Times New Roman"/>
          <w:b/>
          <w:bCs/>
          <w:lang w:eastAsia="it-IT"/>
        </w:rPr>
        <w:t>Monteleone di Spoleto è a 17.111 euro, Sellano a 19.599, Vallo di Nera a 19.816 e Preci a 20.267</w:t>
      </w:r>
      <w:r w:rsidRPr="00C75C41">
        <w:rPr>
          <w:rFonts w:ascii="Times New Roman" w:eastAsia="Times New Roman" w:hAnsi="Times New Roman"/>
          <w:lang w:eastAsia="it-IT"/>
        </w:rPr>
        <w:t>.</w:t>
      </w:r>
    </w:p>
    <w:p w14:paraId="6AF40096" w14:textId="77777777" w:rsidR="00F60952" w:rsidRDefault="00F60952" w:rsidP="00F60952">
      <w:pPr>
        <w:spacing w:after="0"/>
        <w:rPr>
          <w:rFonts w:ascii="Times New Roman" w:eastAsia="Times New Roman" w:hAnsi="Times New Roman"/>
          <w:lang w:eastAsia="it-IT"/>
        </w:rPr>
      </w:pPr>
    </w:p>
    <w:p w14:paraId="2DC76C62"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La dimensione demografica accompagna fortemente queste differenze. Nei </w:t>
      </w:r>
      <w:r w:rsidRPr="00C75C41">
        <w:rPr>
          <w:rFonts w:ascii="Times New Roman" w:eastAsia="Times New Roman" w:hAnsi="Times New Roman"/>
          <w:b/>
          <w:bCs/>
          <w:lang w:eastAsia="it-IT"/>
        </w:rPr>
        <w:t>19 comuni culturali con non più di 5 mila abitanti</w:t>
      </w:r>
      <w:r w:rsidRPr="00C75C41">
        <w:rPr>
          <w:rFonts w:ascii="Times New Roman" w:eastAsia="Times New Roman" w:hAnsi="Times New Roman"/>
          <w:lang w:eastAsia="it-IT"/>
        </w:rPr>
        <w:t xml:space="preserve"> il reddito imponibile medio è di </w:t>
      </w:r>
      <w:r w:rsidRPr="00C75C41">
        <w:rPr>
          <w:rFonts w:ascii="Times New Roman" w:eastAsia="Times New Roman" w:hAnsi="Times New Roman"/>
          <w:b/>
          <w:bCs/>
          <w:lang w:eastAsia="it-IT"/>
        </w:rPr>
        <w:t>22.174 euro</w:t>
      </w:r>
      <w:r w:rsidRPr="00C75C41">
        <w:rPr>
          <w:rFonts w:ascii="Times New Roman" w:eastAsia="Times New Roman" w:hAnsi="Times New Roman"/>
          <w:lang w:eastAsia="it-IT"/>
        </w:rPr>
        <w:t xml:space="preserve">. Nei dieci comuni fra 5.001 e 15.000 abitanti sale a 22.768 euro; nei nove fra 15.001 e 50.000 raggiunge 23.592; nei tre con oltre 50.000 abitanti — Perugia, Terni e Foligno — arriva a </w:t>
      </w:r>
      <w:r w:rsidRPr="00C75C41">
        <w:rPr>
          <w:rFonts w:ascii="Times New Roman" w:eastAsia="Times New Roman" w:hAnsi="Times New Roman"/>
          <w:b/>
          <w:bCs/>
          <w:lang w:eastAsia="it-IT"/>
        </w:rPr>
        <w:t>25.446 euro</w:t>
      </w:r>
      <w:r w:rsidRPr="00C75C41">
        <w:rPr>
          <w:rFonts w:ascii="Times New Roman" w:eastAsia="Times New Roman" w:hAnsi="Times New Roman"/>
          <w:lang w:eastAsia="it-IT"/>
        </w:rPr>
        <w:t>.</w:t>
      </w:r>
    </w:p>
    <w:p w14:paraId="5695C909"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Togliendo proprio questi tre centri maggiori dal calcolo, i restanti </w:t>
      </w:r>
      <w:r w:rsidRPr="00C75C41">
        <w:rPr>
          <w:rFonts w:ascii="Times New Roman" w:eastAsia="Times New Roman" w:hAnsi="Times New Roman"/>
          <w:b/>
          <w:bCs/>
          <w:lang w:eastAsia="it-IT"/>
        </w:rPr>
        <w:t>38 comuni culturali scendono a una media di 23.216 euro</w:t>
      </w:r>
      <w:r w:rsidRPr="00C75C41">
        <w:rPr>
          <w:rFonts w:ascii="Times New Roman" w:eastAsia="Times New Roman" w:hAnsi="Times New Roman"/>
          <w:lang w:eastAsia="it-IT"/>
        </w:rPr>
        <w:t xml:space="preserve">. Continuano a superare gli altri 51 comuni umbri, fermi a 22.288 euro, ma il vantaggio si riduce a </w:t>
      </w:r>
      <w:r w:rsidRPr="00C75C41">
        <w:rPr>
          <w:rFonts w:ascii="Times New Roman" w:eastAsia="Times New Roman" w:hAnsi="Times New Roman"/>
          <w:b/>
          <w:bCs/>
          <w:lang w:eastAsia="it-IT"/>
        </w:rPr>
        <w:t>928 euro, il 4,2%</w:t>
      </w:r>
      <w:r w:rsidRPr="00C75C41">
        <w:rPr>
          <w:rFonts w:ascii="Times New Roman" w:eastAsia="Times New Roman" w:hAnsi="Times New Roman"/>
          <w:lang w:eastAsia="it-IT"/>
        </w:rPr>
        <w:t xml:space="preserve">. È un passaggio importante perché </w:t>
      </w:r>
      <w:r w:rsidRPr="00C75C41">
        <w:rPr>
          <w:rFonts w:ascii="Times New Roman" w:eastAsia="Times New Roman" w:hAnsi="Times New Roman"/>
          <w:lang w:eastAsia="it-IT"/>
        </w:rPr>
        <w:lastRenderedPageBreak/>
        <w:t>impedisce di attribuire alla cultura ciò che può dipendere anche da dimensione urbana, mercato del lavoro, servizi, composizione produttiva e accessibilità.</w:t>
      </w:r>
    </w:p>
    <w:p w14:paraId="4B4E4B84" w14:textId="77777777" w:rsidR="00F60952" w:rsidRDefault="00F60952" w:rsidP="00F60952">
      <w:pPr>
        <w:spacing w:after="0"/>
        <w:rPr>
          <w:rFonts w:ascii="Times New Roman" w:eastAsia="Times New Roman" w:hAnsi="Times New Roman"/>
          <w:lang w:eastAsia="it-IT"/>
        </w:rPr>
      </w:pPr>
    </w:p>
    <w:p w14:paraId="15B3DA5A"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I numeri non dimostrano dunque che la cultura, da sola, produca redditi più elevati. Mostrano però un’associazione territoriale che merita attenzione: </w:t>
      </w:r>
      <w:r w:rsidRPr="00C75C41">
        <w:rPr>
          <w:rFonts w:ascii="Times New Roman" w:eastAsia="Times New Roman" w:hAnsi="Times New Roman"/>
          <w:b/>
          <w:bCs/>
          <w:lang w:eastAsia="it-IT"/>
        </w:rPr>
        <w:t>in Umbria i comuni a vocazione culturale presentano complessivamente redditi superiori agli altri e il differenziale rimane positivo anche escludendo i tre maggiori centri regionali</w:t>
      </w:r>
      <w:r w:rsidRPr="00C75C41">
        <w:rPr>
          <w:rFonts w:ascii="Times New Roman" w:eastAsia="Times New Roman" w:hAnsi="Times New Roman"/>
          <w:lang w:eastAsia="it-IT"/>
        </w:rPr>
        <w:t>.</w:t>
      </w:r>
    </w:p>
    <w:p w14:paraId="2FCC688B"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La metodologia utilizzata evita inoltre che un piccolo comune pesi nel calcolo quanto una grande città. Per ottenere le medie dei diversi gruppi, </w:t>
      </w:r>
      <w:r w:rsidRPr="00C75C41">
        <w:rPr>
          <w:rFonts w:ascii="Times New Roman" w:eastAsia="Times New Roman" w:hAnsi="Times New Roman"/>
          <w:b/>
          <w:bCs/>
          <w:lang w:eastAsia="it-IT"/>
        </w:rPr>
        <w:t>l’ammontare complessivo del reddito imponibile è stato rapportato al numero dei contribuenti per i quali risulta un reddito imponibile</w:t>
      </w:r>
      <w:r w:rsidRPr="00C75C41">
        <w:rPr>
          <w:rFonts w:ascii="Times New Roman" w:eastAsia="Times New Roman" w:hAnsi="Times New Roman"/>
          <w:lang w:eastAsia="it-IT"/>
        </w:rPr>
        <w:t>. Perugia, quindi, partecipa alla media in proporzione al numero dei suoi contribuenti e non con lo stesso peso di un comune di poche centinaia di abitanti.</w:t>
      </w:r>
    </w:p>
    <w:p w14:paraId="4FD358AA"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Nei 41 comuni culturali i </w:t>
      </w:r>
      <w:r w:rsidRPr="00C75C41">
        <w:rPr>
          <w:rFonts w:ascii="Times New Roman" w:eastAsia="Times New Roman" w:hAnsi="Times New Roman"/>
          <w:b/>
          <w:bCs/>
          <w:lang w:eastAsia="it-IT"/>
        </w:rPr>
        <w:t>contribuenti con reddito imponibile considerati sono 484.302</w:t>
      </w:r>
      <w:r w:rsidRPr="00C75C41">
        <w:rPr>
          <w:rFonts w:ascii="Times New Roman" w:eastAsia="Times New Roman" w:hAnsi="Times New Roman"/>
          <w:lang w:eastAsia="it-IT"/>
        </w:rPr>
        <w:t xml:space="preserve">, per un ammontare complessivo che sfiora </w:t>
      </w:r>
      <w:r w:rsidRPr="00C75C41">
        <w:rPr>
          <w:rFonts w:ascii="Times New Roman" w:eastAsia="Times New Roman" w:hAnsi="Times New Roman"/>
          <w:b/>
          <w:bCs/>
          <w:lang w:eastAsia="it-IT"/>
        </w:rPr>
        <w:t>11,76 miliardi di euro</w:t>
      </w:r>
      <w:r w:rsidRPr="00C75C41">
        <w:rPr>
          <w:rFonts w:ascii="Times New Roman" w:eastAsia="Times New Roman" w:hAnsi="Times New Roman"/>
          <w:lang w:eastAsia="it-IT"/>
        </w:rPr>
        <w:t xml:space="preserve">. Negli altri 51 comuni sono </w:t>
      </w:r>
      <w:r w:rsidRPr="00C75C41">
        <w:rPr>
          <w:rFonts w:ascii="Times New Roman" w:eastAsia="Times New Roman" w:hAnsi="Times New Roman"/>
          <w:b/>
          <w:bCs/>
          <w:lang w:eastAsia="it-IT"/>
        </w:rPr>
        <w:t>130.609</w:t>
      </w:r>
      <w:r w:rsidRPr="00C75C41">
        <w:rPr>
          <w:rFonts w:ascii="Times New Roman" w:eastAsia="Times New Roman" w:hAnsi="Times New Roman"/>
          <w:lang w:eastAsia="it-IT"/>
        </w:rPr>
        <w:t xml:space="preserve">, per circa </w:t>
      </w:r>
      <w:r w:rsidRPr="00C75C41">
        <w:rPr>
          <w:rFonts w:ascii="Times New Roman" w:eastAsia="Times New Roman" w:hAnsi="Times New Roman"/>
          <w:b/>
          <w:bCs/>
          <w:lang w:eastAsia="it-IT"/>
        </w:rPr>
        <w:t>2,91 miliardi di euro</w:t>
      </w:r>
      <w:r w:rsidRPr="00C75C41">
        <w:rPr>
          <w:rFonts w:ascii="Times New Roman" w:eastAsia="Times New Roman" w:hAnsi="Times New Roman"/>
          <w:lang w:eastAsia="it-IT"/>
        </w:rPr>
        <w:t>.</w:t>
      </w:r>
    </w:p>
    <w:p w14:paraId="79FD4620" w14:textId="77777777" w:rsidR="00F60952" w:rsidRDefault="00F60952" w:rsidP="00F60952">
      <w:pPr>
        <w:spacing w:after="0"/>
        <w:rPr>
          <w:rFonts w:ascii="Times New Roman" w:eastAsia="Times New Roman" w:hAnsi="Times New Roman"/>
          <w:lang w:eastAsia="it-IT"/>
        </w:rPr>
      </w:pPr>
    </w:p>
    <w:p w14:paraId="047827B3"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 xml:space="preserve">Il confronto nazionale offre un riferimento utile. Nel Rapporto Federculture 2026, costruito sui redditi 2023, il reddito imponibile medio nei territori culturali e paesaggistici italiani raggiunge </w:t>
      </w:r>
      <w:r w:rsidRPr="00C75C41">
        <w:rPr>
          <w:rFonts w:ascii="Times New Roman" w:eastAsia="Times New Roman" w:hAnsi="Times New Roman"/>
          <w:b/>
          <w:bCs/>
          <w:lang w:eastAsia="it-IT"/>
        </w:rPr>
        <w:t>25.570 euro</w:t>
      </w:r>
      <w:r w:rsidRPr="00C75C41">
        <w:rPr>
          <w:rFonts w:ascii="Times New Roman" w:eastAsia="Times New Roman" w:hAnsi="Times New Roman"/>
          <w:lang w:eastAsia="it-IT"/>
        </w:rPr>
        <w:t xml:space="preserve">, contro poco più di </w:t>
      </w:r>
      <w:r w:rsidRPr="00C75C41">
        <w:rPr>
          <w:rFonts w:ascii="Times New Roman" w:eastAsia="Times New Roman" w:hAnsi="Times New Roman"/>
          <w:b/>
          <w:bCs/>
          <w:lang w:eastAsia="it-IT"/>
        </w:rPr>
        <w:t>22 mila euro</w:t>
      </w:r>
      <w:r w:rsidRPr="00C75C41">
        <w:rPr>
          <w:rFonts w:ascii="Times New Roman" w:eastAsia="Times New Roman" w:hAnsi="Times New Roman"/>
          <w:lang w:eastAsia="it-IT"/>
        </w:rPr>
        <w:t xml:space="preserve"> negli altri comuni. L’elaborazione umbra utilizza invece i redditi 2024 e concentra l’attenzione sulla geografia interna della regione.</w:t>
      </w:r>
    </w:p>
    <w:p w14:paraId="1097AB10" w14:textId="77777777" w:rsidR="00F60952" w:rsidRDefault="00F60952" w:rsidP="00F60952">
      <w:pPr>
        <w:spacing w:after="0"/>
        <w:rPr>
          <w:rFonts w:ascii="Times New Roman" w:eastAsia="Times New Roman" w:hAnsi="Times New Roman"/>
          <w:lang w:eastAsia="it-IT"/>
        </w:rPr>
      </w:pPr>
    </w:p>
    <w:p w14:paraId="258A3EA9" w14:textId="77777777" w:rsidR="00F60952" w:rsidRPr="00C75C41" w:rsidRDefault="00F60952" w:rsidP="00F60952">
      <w:pPr>
        <w:spacing w:after="0"/>
        <w:rPr>
          <w:rFonts w:ascii="Times New Roman" w:eastAsia="Times New Roman" w:hAnsi="Times New Roman"/>
          <w:lang w:eastAsia="it-IT"/>
        </w:rPr>
      </w:pPr>
      <w:r w:rsidRPr="00C75C41">
        <w:rPr>
          <w:rFonts w:ascii="Times New Roman" w:eastAsia="Times New Roman" w:hAnsi="Times New Roman"/>
          <w:lang w:eastAsia="it-IT"/>
        </w:rPr>
        <w:t>Da una parte ci sono Perugia, Corciano, San Gemini, Torgiano, Orvieto e altri centri nei quali vocazione culturale e livelli reddituali relativamente elevati convivono. Dall’altra ci sono borghi e territori dell’Appennino che possiedono un patrimonio storico e paesaggistico molto forte, ma operano dentro economie più piccole, meno accessibili e spesso segnate dalla debolezza demografica. È su questa distanza, più che sul semplice conteggio di musei, monumenti o visitatori, che si misura una parte della capacità dell’Umbria di trasformare il proprio patrimonio in economia.</w:t>
      </w:r>
    </w:p>
    <w:p w14:paraId="43929590" w14:textId="77777777" w:rsidR="00F60952" w:rsidRDefault="00F60952" w:rsidP="00F60952">
      <w:pPr>
        <w:spacing w:after="0"/>
        <w:rPr>
          <w:rFonts w:ascii="Times New Roman" w:eastAsia="Times New Roman" w:hAnsi="Times New Roman"/>
          <w:b/>
          <w:bCs/>
          <w:lang w:eastAsia="it-IT"/>
        </w:rPr>
      </w:pPr>
    </w:p>
    <w:p w14:paraId="698089AE" w14:textId="77777777" w:rsidR="00F60952" w:rsidRPr="00C75C41" w:rsidRDefault="00F60952" w:rsidP="00F60952">
      <w:pPr>
        <w:spacing w:after="0"/>
        <w:rPr>
          <w:rFonts w:ascii="Times New Roman" w:eastAsia="Times New Roman" w:hAnsi="Times New Roman"/>
          <w:color w:val="0070C0"/>
          <w:lang w:eastAsia="it-IT"/>
        </w:rPr>
      </w:pPr>
      <w:r w:rsidRPr="00C75C41">
        <w:rPr>
          <w:rFonts w:ascii="Times New Roman" w:eastAsia="Times New Roman" w:hAnsi="Times New Roman"/>
          <w:b/>
          <w:bCs/>
          <w:color w:val="0070C0"/>
          <w:lang w:eastAsia="it-IT"/>
        </w:rPr>
        <w:t>Fonti</w:t>
      </w:r>
    </w:p>
    <w:p w14:paraId="032EC649" w14:textId="77777777" w:rsidR="00F60952" w:rsidRPr="00C75C41" w:rsidRDefault="00F60952" w:rsidP="00F60952">
      <w:pPr>
        <w:numPr>
          <w:ilvl w:val="0"/>
          <w:numId w:val="18"/>
        </w:numPr>
        <w:suppressAutoHyphens w:val="0"/>
        <w:autoSpaceDN/>
        <w:spacing w:before="100" w:beforeAutospacing="1" w:after="100" w:afterAutospacing="1"/>
        <w:rPr>
          <w:rFonts w:ascii="Times New Roman" w:eastAsia="Times New Roman" w:hAnsi="Times New Roman"/>
          <w:lang w:eastAsia="it-IT"/>
        </w:rPr>
      </w:pPr>
      <w:r w:rsidRPr="00C75C41">
        <w:rPr>
          <w:rFonts w:ascii="Times New Roman" w:eastAsia="Times New Roman" w:hAnsi="Times New Roman"/>
          <w:b/>
          <w:bCs/>
          <w:lang w:eastAsia="it-IT"/>
        </w:rPr>
        <w:t>Ministero dell’Economia e delle Finanze – Dipartimento delle Finanze</w:t>
      </w:r>
      <w:r w:rsidRPr="00C75C41">
        <w:rPr>
          <w:rFonts w:ascii="Times New Roman" w:eastAsia="Times New Roman" w:hAnsi="Times New Roman"/>
          <w:lang w:eastAsia="it-IT"/>
        </w:rPr>
        <w:t xml:space="preserve">, dichiarazioni dei redditi 2025, anno d’imposta 2024: dati sul reddito imponibile per comune, provincia, regione e ripartizione territoriale. </w:t>
      </w:r>
      <w:hyperlink r:id="rId7" w:history="1">
        <w:r w:rsidRPr="00C75C41">
          <w:rPr>
            <w:rFonts w:ascii="Times New Roman" w:eastAsia="Times New Roman" w:hAnsi="Times New Roman"/>
            <w:color w:val="0000FF"/>
            <w:u w:val="single"/>
            <w:lang w:eastAsia="it-IT"/>
          </w:rPr>
          <w:t>Statistiche sulle dichiarazioni – Dipartimento delle Finanze</w:t>
        </w:r>
      </w:hyperlink>
    </w:p>
    <w:p w14:paraId="34798B7A" w14:textId="77777777" w:rsidR="00F60952" w:rsidRPr="00C75C41" w:rsidRDefault="00F60952" w:rsidP="00F60952">
      <w:pPr>
        <w:numPr>
          <w:ilvl w:val="0"/>
          <w:numId w:val="18"/>
        </w:numPr>
        <w:suppressAutoHyphens w:val="0"/>
        <w:autoSpaceDN/>
        <w:spacing w:before="100" w:beforeAutospacing="1" w:after="100" w:afterAutospacing="1"/>
        <w:rPr>
          <w:rFonts w:ascii="Times New Roman" w:eastAsia="Times New Roman" w:hAnsi="Times New Roman"/>
          <w:lang w:eastAsia="it-IT"/>
        </w:rPr>
      </w:pPr>
      <w:r w:rsidRPr="00C75C41">
        <w:rPr>
          <w:rFonts w:ascii="Times New Roman" w:eastAsia="Times New Roman" w:hAnsi="Times New Roman"/>
          <w:b/>
          <w:bCs/>
          <w:lang w:eastAsia="it-IT"/>
        </w:rPr>
        <w:t>Istat (Istituto nazionale di statistica)</w:t>
      </w:r>
      <w:r w:rsidRPr="00C75C41">
        <w:rPr>
          <w:rFonts w:ascii="Times New Roman" w:eastAsia="Times New Roman" w:hAnsi="Times New Roman"/>
          <w:lang w:eastAsia="it-IT"/>
        </w:rPr>
        <w:t xml:space="preserve">, </w:t>
      </w:r>
      <w:r w:rsidRPr="00C75C41">
        <w:rPr>
          <w:rFonts w:ascii="Times New Roman" w:eastAsia="Times New Roman" w:hAnsi="Times New Roman"/>
          <w:i/>
          <w:iCs/>
          <w:lang w:eastAsia="it-IT"/>
        </w:rPr>
        <w:t>Il turismo culturale in Italia: analisi territoriale integrata dei dati</w:t>
      </w:r>
      <w:r w:rsidRPr="00C75C41">
        <w:rPr>
          <w:rFonts w:ascii="Times New Roman" w:eastAsia="Times New Roman" w:hAnsi="Times New Roman"/>
          <w:lang w:eastAsia="it-IT"/>
        </w:rPr>
        <w:t xml:space="preserve">, Tavola 3.5, classificazione dei comuni per categoria turistica, anno di riferimento 2019. </w:t>
      </w:r>
      <w:hyperlink r:id="rId8" w:history="1">
        <w:r w:rsidRPr="00C75C41">
          <w:rPr>
            <w:rFonts w:ascii="Times New Roman" w:eastAsia="Times New Roman" w:hAnsi="Times New Roman"/>
            <w:color w:val="0000FF"/>
            <w:u w:val="single"/>
            <w:lang w:eastAsia="it-IT"/>
          </w:rPr>
          <w:t>Il turismo culturale in Italia – Istat</w:t>
        </w:r>
      </w:hyperlink>
    </w:p>
    <w:p w14:paraId="35E8A090" w14:textId="77777777" w:rsidR="00F60952" w:rsidRPr="00C75C41" w:rsidRDefault="00F60952" w:rsidP="00F60952">
      <w:pPr>
        <w:numPr>
          <w:ilvl w:val="0"/>
          <w:numId w:val="18"/>
        </w:numPr>
        <w:suppressAutoHyphens w:val="0"/>
        <w:autoSpaceDN/>
        <w:spacing w:before="100" w:beforeAutospacing="1" w:after="100" w:afterAutospacing="1"/>
        <w:rPr>
          <w:rFonts w:ascii="Times New Roman" w:eastAsia="Times New Roman" w:hAnsi="Times New Roman"/>
          <w:lang w:eastAsia="it-IT"/>
        </w:rPr>
      </w:pPr>
      <w:r w:rsidRPr="00C75C41">
        <w:rPr>
          <w:rFonts w:ascii="Times New Roman" w:eastAsia="Times New Roman" w:hAnsi="Times New Roman"/>
          <w:b/>
          <w:bCs/>
          <w:lang w:eastAsia="it-IT"/>
        </w:rPr>
        <w:t>Istat</w:t>
      </w:r>
      <w:r w:rsidRPr="00C75C41">
        <w:rPr>
          <w:rFonts w:ascii="Times New Roman" w:eastAsia="Times New Roman" w:hAnsi="Times New Roman"/>
          <w:lang w:eastAsia="it-IT"/>
        </w:rPr>
        <w:t xml:space="preserve">, </w:t>
      </w:r>
      <w:r w:rsidRPr="00C75C41">
        <w:rPr>
          <w:rFonts w:ascii="Times New Roman" w:eastAsia="Times New Roman" w:hAnsi="Times New Roman"/>
          <w:i/>
          <w:iCs/>
          <w:lang w:eastAsia="it-IT"/>
        </w:rPr>
        <w:t>Classificazione dei Comuni in base alla densità turistica</w:t>
      </w:r>
      <w:r w:rsidRPr="00C75C41">
        <w:rPr>
          <w:rFonts w:ascii="Times New Roman" w:eastAsia="Times New Roman" w:hAnsi="Times New Roman"/>
          <w:lang w:eastAsia="it-IT"/>
        </w:rPr>
        <w:t xml:space="preserve">, revisione del 19 gennaio 2022. </w:t>
      </w:r>
      <w:hyperlink r:id="rId9" w:history="1">
        <w:r w:rsidRPr="00C75C41">
          <w:rPr>
            <w:rFonts w:ascii="Times New Roman" w:eastAsia="Times New Roman" w:hAnsi="Times New Roman"/>
            <w:color w:val="0000FF"/>
            <w:u w:val="single"/>
            <w:lang w:eastAsia="it-IT"/>
          </w:rPr>
          <w:t>Classificazione dei Comuni – Istat</w:t>
        </w:r>
      </w:hyperlink>
    </w:p>
    <w:p w14:paraId="38648B9B" w14:textId="77777777" w:rsidR="00F60952" w:rsidRPr="00C75C41" w:rsidRDefault="00F60952" w:rsidP="00F60952">
      <w:pPr>
        <w:numPr>
          <w:ilvl w:val="0"/>
          <w:numId w:val="18"/>
        </w:numPr>
        <w:suppressAutoHyphens w:val="0"/>
        <w:autoSpaceDN/>
        <w:spacing w:before="100" w:beforeAutospacing="1" w:after="100" w:afterAutospacing="1"/>
        <w:rPr>
          <w:rFonts w:ascii="Times New Roman" w:eastAsia="Times New Roman" w:hAnsi="Times New Roman"/>
          <w:lang w:eastAsia="it-IT"/>
        </w:rPr>
      </w:pPr>
      <w:r w:rsidRPr="00C75C41">
        <w:rPr>
          <w:rFonts w:ascii="Times New Roman" w:eastAsia="Times New Roman" w:hAnsi="Times New Roman"/>
          <w:b/>
          <w:bCs/>
          <w:lang w:eastAsia="it-IT"/>
        </w:rPr>
        <w:t>Federculture</w:t>
      </w:r>
      <w:r w:rsidRPr="00C75C41">
        <w:rPr>
          <w:rFonts w:ascii="Times New Roman" w:eastAsia="Times New Roman" w:hAnsi="Times New Roman"/>
          <w:lang w:eastAsia="it-IT"/>
        </w:rPr>
        <w:t xml:space="preserve">, 22° Rapporto Annuale 2026, </w:t>
      </w:r>
      <w:r w:rsidRPr="00C75C41">
        <w:rPr>
          <w:rFonts w:ascii="Times New Roman" w:eastAsia="Times New Roman" w:hAnsi="Times New Roman"/>
          <w:i/>
          <w:iCs/>
          <w:lang w:eastAsia="it-IT"/>
        </w:rPr>
        <w:t>Impresa Cultura – La cultura che cambia i territori</w:t>
      </w:r>
      <w:r w:rsidRPr="00C75C41">
        <w:rPr>
          <w:rFonts w:ascii="Times New Roman" w:eastAsia="Times New Roman" w:hAnsi="Times New Roman"/>
          <w:lang w:eastAsia="it-IT"/>
        </w:rPr>
        <w:t xml:space="preserve">. </w:t>
      </w:r>
      <w:hyperlink r:id="rId10" w:history="1">
        <w:r w:rsidRPr="00C75C41">
          <w:rPr>
            <w:rFonts w:ascii="Times New Roman" w:eastAsia="Times New Roman" w:hAnsi="Times New Roman"/>
            <w:color w:val="0000FF"/>
            <w:u w:val="single"/>
            <w:lang w:eastAsia="it-IT"/>
          </w:rPr>
          <w:t>22° Rapporto Annuale Federculture 2026</w:t>
        </w:r>
      </w:hyperlink>
    </w:p>
    <w:p w14:paraId="044C843E" w14:textId="77777777" w:rsidR="00F60952" w:rsidRPr="00C75C41" w:rsidRDefault="00F60952" w:rsidP="00F60952">
      <w:pPr>
        <w:numPr>
          <w:ilvl w:val="0"/>
          <w:numId w:val="18"/>
        </w:numPr>
        <w:suppressAutoHyphens w:val="0"/>
        <w:autoSpaceDN/>
        <w:spacing w:before="100" w:beforeAutospacing="1" w:after="100" w:afterAutospacing="1"/>
        <w:rPr>
          <w:rFonts w:ascii="Times New Roman" w:eastAsia="Times New Roman" w:hAnsi="Times New Roman"/>
          <w:lang w:eastAsia="it-IT"/>
        </w:rPr>
      </w:pPr>
      <w:r w:rsidRPr="00C75C41">
        <w:rPr>
          <w:rFonts w:ascii="Times New Roman" w:eastAsia="Times New Roman" w:hAnsi="Times New Roman"/>
          <w:b/>
          <w:bCs/>
          <w:lang w:eastAsia="it-IT"/>
        </w:rPr>
        <w:lastRenderedPageBreak/>
        <w:t>Elaborazioni Camera di commercio dell’Umbria</w:t>
      </w:r>
      <w:r w:rsidRPr="00C75C41">
        <w:rPr>
          <w:rFonts w:ascii="Times New Roman" w:eastAsia="Times New Roman" w:hAnsi="Times New Roman"/>
          <w:lang w:eastAsia="it-IT"/>
        </w:rPr>
        <w:t xml:space="preserve"> su dati del Ministero dell’Economia e delle Finanze e Istat.</w:t>
      </w:r>
    </w:p>
    <w:p w14:paraId="0679E437" w14:textId="77777777" w:rsidR="00F60952" w:rsidRPr="00C75C41" w:rsidRDefault="00F60952" w:rsidP="00F60952">
      <w:pPr>
        <w:spacing w:after="0"/>
        <w:rPr>
          <w:rFonts w:ascii="Times New Roman" w:hAnsi="Times New Roman"/>
        </w:rPr>
      </w:pPr>
    </w:p>
    <w:p w14:paraId="0D34D379" w14:textId="77777777" w:rsidR="00F60952" w:rsidRPr="00EC6D32" w:rsidRDefault="00F60952" w:rsidP="00F60952">
      <w:pPr>
        <w:spacing w:after="0"/>
        <w:rPr>
          <w:rFonts w:ascii="Times New Roman" w:hAnsi="Times New Roman"/>
          <w:b/>
          <w:bCs/>
        </w:rPr>
      </w:pPr>
      <w:r w:rsidRPr="00EC6D32">
        <w:rPr>
          <w:rFonts w:ascii="Times New Roman" w:hAnsi="Times New Roman"/>
          <w:b/>
          <w:bCs/>
        </w:rPr>
        <w:t>Allegati:</w:t>
      </w:r>
    </w:p>
    <w:p w14:paraId="3EA172FE" w14:textId="77777777" w:rsidR="00F60952" w:rsidRPr="00EC6D32" w:rsidRDefault="00F60952" w:rsidP="00F60952">
      <w:pPr>
        <w:pStyle w:val="Paragrafoelenco"/>
        <w:numPr>
          <w:ilvl w:val="0"/>
          <w:numId w:val="19"/>
        </w:numPr>
        <w:suppressAutoHyphens w:val="0"/>
        <w:autoSpaceDN/>
        <w:spacing w:after="0"/>
        <w:contextualSpacing/>
        <w:rPr>
          <w:rFonts w:ascii="Times New Roman" w:hAnsi="Times New Roman"/>
          <w:b/>
          <w:bCs/>
          <w:i/>
          <w:iCs/>
        </w:rPr>
      </w:pPr>
      <w:r w:rsidRPr="00EC6D32">
        <w:rPr>
          <w:rFonts w:ascii="Times New Roman" w:hAnsi="Times New Roman"/>
          <w:b/>
          <w:bCs/>
          <w:i/>
          <w:iCs/>
        </w:rPr>
        <w:t>Comunicato Stampa</w:t>
      </w:r>
    </w:p>
    <w:p w14:paraId="52C5504A" w14:textId="77777777" w:rsidR="00F60952" w:rsidRPr="00EC6D32" w:rsidRDefault="00F60952" w:rsidP="00F60952">
      <w:pPr>
        <w:pStyle w:val="Paragrafoelenco"/>
        <w:numPr>
          <w:ilvl w:val="0"/>
          <w:numId w:val="19"/>
        </w:numPr>
        <w:suppressAutoHyphens w:val="0"/>
        <w:autoSpaceDN/>
        <w:spacing w:after="0"/>
        <w:contextualSpacing/>
        <w:rPr>
          <w:rFonts w:ascii="Times New Roman" w:hAnsi="Times New Roman"/>
          <w:b/>
          <w:bCs/>
          <w:i/>
          <w:iCs/>
        </w:rPr>
      </w:pPr>
      <w:r w:rsidRPr="00EC6D32">
        <w:rPr>
          <w:rFonts w:ascii="Times New Roman" w:hAnsi="Times New Roman"/>
          <w:b/>
          <w:bCs/>
          <w:i/>
          <w:iCs/>
        </w:rPr>
        <w:t>Quattro infografiche</w:t>
      </w:r>
    </w:p>
    <w:p w14:paraId="20177B3B" w14:textId="77777777" w:rsidR="00F60952" w:rsidRPr="00CB0F47" w:rsidRDefault="00F60952" w:rsidP="00CB0F47">
      <w:pPr>
        <w:spacing w:after="0"/>
      </w:pPr>
    </w:p>
    <w:sectPr w:rsidR="00F60952" w:rsidRPr="00CB0F47">
      <w:headerReference w:type="default" r:id="rId11"/>
      <w:footerReference w:type="default" r:id="rId12"/>
      <w:headerReference w:type="first" r:id="rId13"/>
      <w:footerReference w:type="first" r:id="rId14"/>
      <w:pgSz w:w="11906" w:h="16838"/>
      <w:pgMar w:top="1809" w:right="1701" w:bottom="1134" w:left="1701" w:header="720" w:footer="7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E41B4" w14:textId="77777777" w:rsidR="00E772DC" w:rsidRDefault="00E772DC">
      <w:pPr>
        <w:spacing w:after="0" w:line="240" w:lineRule="auto"/>
      </w:pPr>
      <w:r>
        <w:separator/>
      </w:r>
    </w:p>
  </w:endnote>
  <w:endnote w:type="continuationSeparator" w:id="0">
    <w:p w14:paraId="258AB54D" w14:textId="77777777" w:rsidR="00E772DC" w:rsidRDefault="00E77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yriadPro-It">
    <w:altName w:val="Calibri"/>
    <w:charset w:val="00"/>
    <w:family w:val="swiss"/>
    <w:pitch w:val="default"/>
  </w:font>
  <w:font w:name="Tempus Sans ITC">
    <w:panose1 w:val="04020404030D07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swiss"/>
    <w:pitch w:val="variable"/>
  </w:font>
  <w:font w:name="Fedra Sans Std Light">
    <w:altName w:val="Arial"/>
    <w:charset w:val="00"/>
    <w:family w:val="swiss"/>
    <w:pitch w:val="variable"/>
  </w:font>
  <w:font w:name="Fedra Sans Std Demi">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68515" w14:textId="77777777" w:rsidR="00E01AF0" w:rsidRDefault="00E772DC">
    <w:pPr>
      <w:pStyle w:val="Intestazione"/>
      <w:tabs>
        <w:tab w:val="clear" w:pos="9638"/>
        <w:tab w:val="right" w:pos="8931"/>
      </w:tabs>
      <w:jc w:val="right"/>
      <w:rPr>
        <w:rFonts w:ascii="Fedra Sans Std Light" w:hAnsi="Fedra Sans Std Light"/>
        <w:color w:val="071D49"/>
      </w:rPr>
    </w:pPr>
  </w:p>
  <w:p w14:paraId="5D6C684B" w14:textId="77777777" w:rsidR="00E01AF0" w:rsidRDefault="00125031">
    <w:pPr>
      <w:pStyle w:val="Pidipagina"/>
      <w:rPr>
        <w:rFonts w:ascii="Fedra Sans Std Light" w:hAnsi="Fedra Sans Std Light"/>
        <w:color w:val="071D49"/>
        <w:sz w:val="22"/>
        <w:szCs w:val="22"/>
      </w:rPr>
    </w:pPr>
    <w:r>
      <w:rPr>
        <w:rFonts w:ascii="Fedra Sans Std Light" w:hAnsi="Fedra Sans Std Light"/>
        <w:color w:val="071D49"/>
        <w:sz w:val="22"/>
        <w:szCs w:val="22"/>
      </w:rPr>
      <w:t>Per ulteriori informazioni:</w:t>
    </w:r>
  </w:p>
  <w:p w14:paraId="22E9F424" w14:textId="77777777" w:rsidR="00E01AF0" w:rsidRDefault="00125031">
    <w:pPr>
      <w:pStyle w:val="Pidipagina"/>
      <w:rPr>
        <w:rFonts w:ascii="Fedra Sans Std Demi" w:hAnsi="Fedra Sans Std Demi"/>
        <w:color w:val="071D49"/>
        <w:sz w:val="22"/>
        <w:szCs w:val="22"/>
      </w:rPr>
    </w:pPr>
    <w:r>
      <w:rPr>
        <w:rFonts w:ascii="Fedra Sans Std Demi" w:hAnsi="Fedra Sans Std Demi"/>
        <w:color w:val="071D49"/>
        <w:sz w:val="22"/>
        <w:szCs w:val="22"/>
      </w:rPr>
      <w:t>Ufficio stampa Camera di commercio dell’Umbria</w:t>
    </w:r>
  </w:p>
  <w:p w14:paraId="0447DC54" w14:textId="77777777" w:rsidR="00E01AF0" w:rsidRDefault="00E772DC">
    <w:pPr>
      <w:pStyle w:val="Pidipagina"/>
    </w:pPr>
    <w:hyperlink r:id="rId1" w:history="1">
      <w:r w:rsidR="00125031">
        <w:rPr>
          <w:rStyle w:val="Collegamentoipertestuale"/>
          <w:rFonts w:ascii="Fedra Sans Std Demi" w:hAnsi="Fedra Sans Std Demi"/>
        </w:rPr>
        <w:t>stampa.pg@umbria.camcom.it</w:t>
      </w:r>
    </w:hyperlink>
  </w:p>
  <w:p w14:paraId="53DC2E6C" w14:textId="77777777" w:rsidR="00E01AF0" w:rsidRDefault="00125031">
    <w:pPr>
      <w:pStyle w:val="Pidipagina"/>
      <w:rPr>
        <w:rFonts w:ascii="Fedra Sans Std Demi" w:hAnsi="Fedra Sans Std Demi"/>
        <w:color w:val="071D49"/>
        <w:sz w:val="22"/>
        <w:szCs w:val="22"/>
      </w:rPr>
    </w:pPr>
    <w:r>
      <w:rPr>
        <w:rFonts w:ascii="Fedra Sans Std Demi" w:hAnsi="Fedra Sans Std Demi"/>
        <w:color w:val="071D49"/>
        <w:sz w:val="22"/>
        <w:szCs w:val="22"/>
      </w:rPr>
      <w:t>www.umbria.camcom.it</w:t>
    </w:r>
  </w:p>
  <w:p w14:paraId="40EDD002" w14:textId="77777777" w:rsidR="00E01AF0" w:rsidRDefault="00E772D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EF379" w14:textId="77777777" w:rsidR="00E01AF0" w:rsidRDefault="00E772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60289" w14:textId="77777777" w:rsidR="00E772DC" w:rsidRDefault="00E772DC">
      <w:pPr>
        <w:spacing w:after="0" w:line="240" w:lineRule="auto"/>
      </w:pPr>
      <w:r>
        <w:rPr>
          <w:color w:val="000000"/>
        </w:rPr>
        <w:separator/>
      </w:r>
    </w:p>
  </w:footnote>
  <w:footnote w:type="continuationSeparator" w:id="0">
    <w:p w14:paraId="13F2181C" w14:textId="77777777" w:rsidR="00E772DC" w:rsidRDefault="00E77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BA6D" w14:textId="77777777" w:rsidR="00E01AF0" w:rsidRDefault="00125031">
    <w:pPr>
      <w:pStyle w:val="Intestazione"/>
    </w:pPr>
    <w:r>
      <w:rPr>
        <w:noProof/>
      </w:rPr>
      <w:drawing>
        <wp:anchor distT="0" distB="0" distL="114300" distR="114300" simplePos="0" relativeHeight="251659264" behindDoc="1" locked="0" layoutInCell="1" allowOverlap="1" wp14:anchorId="6A5F36F4" wp14:editId="61CC1896">
          <wp:simplePos x="0" y="0"/>
          <wp:positionH relativeFrom="column">
            <wp:posOffset>-796286</wp:posOffset>
          </wp:positionH>
          <wp:positionV relativeFrom="paragraph">
            <wp:posOffset>6986</wp:posOffset>
          </wp:positionV>
          <wp:extent cx="2600955" cy="534667"/>
          <wp:effectExtent l="0" t="0" r="8895" b="0"/>
          <wp:wrapNone/>
          <wp:docPr id="1" name="Immagine 18" descr="CDC-Umbria-CMY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600955" cy="534667"/>
                  </a:xfrm>
                  <a:prstGeom prst="rect">
                    <a:avLst/>
                  </a:prstGeom>
                  <a:noFill/>
                  <a:ln>
                    <a:noFill/>
                    <a:prstDash/>
                  </a:ln>
                </pic:spPr>
              </pic:pic>
            </a:graphicData>
          </a:graphic>
        </wp:anchor>
      </w:drawing>
    </w:r>
    <w:r>
      <w:tab/>
    </w:r>
  </w:p>
  <w:p w14:paraId="3A7BE21B" w14:textId="77777777" w:rsidR="00E01AF0" w:rsidRDefault="00125031">
    <w:pPr>
      <w:pStyle w:val="Intestazione"/>
    </w:pPr>
    <w:r>
      <w:tab/>
    </w:r>
  </w:p>
  <w:p w14:paraId="3D9DFF0C" w14:textId="77777777" w:rsidR="00E01AF0" w:rsidRDefault="00125031">
    <w:pPr>
      <w:pStyle w:val="Intestazione"/>
      <w:tabs>
        <w:tab w:val="clear" w:pos="9638"/>
        <w:tab w:val="right" w:pos="8789"/>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71516" w14:textId="77777777" w:rsidR="00E01AF0" w:rsidRDefault="00125031">
    <w:pPr>
      <w:pStyle w:val="Intestazione"/>
    </w:pPr>
    <w:r>
      <w:rPr>
        <w:noProof/>
      </w:rPr>
      <w:drawing>
        <wp:anchor distT="0" distB="0" distL="114300" distR="114300" simplePos="0" relativeHeight="251661312" behindDoc="1" locked="0" layoutInCell="1" allowOverlap="1" wp14:anchorId="6DD82C8C" wp14:editId="1931F2F1">
          <wp:simplePos x="0" y="0"/>
          <wp:positionH relativeFrom="column">
            <wp:posOffset>4081140</wp:posOffset>
          </wp:positionH>
          <wp:positionV relativeFrom="paragraph">
            <wp:posOffset>92711</wp:posOffset>
          </wp:positionV>
          <wp:extent cx="1974847" cy="539752"/>
          <wp:effectExtent l="0" t="0" r="6353" b="0"/>
          <wp:wrapNone/>
          <wp:docPr id="2"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974847" cy="539752"/>
                  </a:xfrm>
                  <a:prstGeom prst="rect">
                    <a:avLst/>
                  </a:prstGeom>
                  <a:noFill/>
                  <a:ln>
                    <a:noFill/>
                    <a:prstDash/>
                  </a:ln>
                </pic:spPr>
              </pic:pic>
            </a:graphicData>
          </a:graphic>
        </wp:anchor>
      </w:drawing>
    </w:r>
    <w:r>
      <w:rPr>
        <w:noProof/>
      </w:rPr>
      <w:drawing>
        <wp:anchor distT="0" distB="0" distL="114300" distR="114300" simplePos="0" relativeHeight="251662336" behindDoc="0" locked="0" layoutInCell="1" allowOverlap="1" wp14:anchorId="2C41D999" wp14:editId="75459872">
          <wp:simplePos x="0" y="0"/>
          <wp:positionH relativeFrom="column">
            <wp:posOffset>-1093466</wp:posOffset>
          </wp:positionH>
          <wp:positionV relativeFrom="paragraph">
            <wp:posOffset>-448312</wp:posOffset>
          </wp:positionV>
          <wp:extent cx="7560314" cy="1544951"/>
          <wp:effectExtent l="0" t="0" r="2536" b="0"/>
          <wp:wrapNone/>
          <wp:docPr id="3" name="Immagine 16" descr="head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7560314" cy="1544951"/>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EA3"/>
    <w:multiLevelType w:val="hybridMultilevel"/>
    <w:tmpl w:val="E8848E8E"/>
    <w:lvl w:ilvl="0" w:tplc="12E656A8">
      <w:start w:val="38"/>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C50A04"/>
    <w:multiLevelType w:val="hybridMultilevel"/>
    <w:tmpl w:val="48BE2FA2"/>
    <w:lvl w:ilvl="0" w:tplc="1938BB1A">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4D25C5"/>
    <w:multiLevelType w:val="hybridMultilevel"/>
    <w:tmpl w:val="B32ADDEE"/>
    <w:lvl w:ilvl="0" w:tplc="6D2A730A">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6B0277"/>
    <w:multiLevelType w:val="hybridMultilevel"/>
    <w:tmpl w:val="BA502EBC"/>
    <w:lvl w:ilvl="0" w:tplc="6898FDF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09E59A5"/>
    <w:multiLevelType w:val="hybridMultilevel"/>
    <w:tmpl w:val="0DCA4B3C"/>
    <w:lvl w:ilvl="0" w:tplc="7A9E6FC4">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8BD762C"/>
    <w:multiLevelType w:val="multilevel"/>
    <w:tmpl w:val="B1C2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D82F2D"/>
    <w:multiLevelType w:val="multilevel"/>
    <w:tmpl w:val="0960223C"/>
    <w:styleLink w:val="LFO2"/>
    <w:lvl w:ilvl="0">
      <w:numFmt w:val="bullet"/>
      <w:pStyle w:val="Rientrolettere"/>
      <w:lvlText w:val="-"/>
      <w:lvlJc w:val="left"/>
      <w:pPr>
        <w:ind w:left="360" w:hanging="360"/>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E222B54"/>
    <w:multiLevelType w:val="multilevel"/>
    <w:tmpl w:val="EDB624BC"/>
    <w:styleLink w:val="WWOutlineListStyle1"/>
    <w:lvl w:ilvl="0">
      <w:start w:val="1"/>
      <w:numFmt w:val="decimal"/>
      <w:pStyle w:val="S2"/>
      <w:lvlText w:val="%1."/>
      <w:lvlJc w:val="left"/>
      <w:pPr>
        <w:ind w:left="792" w:hanging="792"/>
      </w:p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504108D8"/>
    <w:multiLevelType w:val="hybridMultilevel"/>
    <w:tmpl w:val="2BE421A0"/>
    <w:lvl w:ilvl="0" w:tplc="93B6511C">
      <w:numFmt w:val="bullet"/>
      <w:lvlText w:val="-"/>
      <w:lvlJc w:val="left"/>
      <w:pPr>
        <w:ind w:left="720" w:hanging="360"/>
      </w:pPr>
      <w:rPr>
        <w:rFonts w:ascii="Times New Roman" w:eastAsia="Times New Roman" w:hAnsi="Times New Roman"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1394A18"/>
    <w:multiLevelType w:val="hybridMultilevel"/>
    <w:tmpl w:val="55AE8D38"/>
    <w:lvl w:ilvl="0" w:tplc="6B16942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15F0255"/>
    <w:multiLevelType w:val="hybridMultilevel"/>
    <w:tmpl w:val="7BA8830A"/>
    <w:lvl w:ilvl="0" w:tplc="9864B57A">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2CA5FBD"/>
    <w:multiLevelType w:val="hybridMultilevel"/>
    <w:tmpl w:val="D99A8C9A"/>
    <w:lvl w:ilvl="0" w:tplc="E3189D9C">
      <w:start w:val="2"/>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045D6A"/>
    <w:multiLevelType w:val="hybridMultilevel"/>
    <w:tmpl w:val="76062F72"/>
    <w:lvl w:ilvl="0" w:tplc="8C8C417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3073EB4"/>
    <w:multiLevelType w:val="hybridMultilevel"/>
    <w:tmpl w:val="9DC285D2"/>
    <w:lvl w:ilvl="0" w:tplc="10BA0588">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3993006"/>
    <w:multiLevelType w:val="multilevel"/>
    <w:tmpl w:val="178E1EC4"/>
    <w:styleLink w:val="WWOutlineListStyle"/>
    <w:lvl w:ilvl="0">
      <w:start w:val="1"/>
      <w:numFmt w:val="decimal"/>
      <w:lvlText w:val="%1."/>
      <w:lvlJc w:val="left"/>
      <w:pPr>
        <w:ind w:left="792" w:hanging="79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7A444EC"/>
    <w:multiLevelType w:val="multilevel"/>
    <w:tmpl w:val="A74E070C"/>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8C93B1F"/>
    <w:multiLevelType w:val="multilevel"/>
    <w:tmpl w:val="86C8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C56D24"/>
    <w:multiLevelType w:val="hybridMultilevel"/>
    <w:tmpl w:val="135E597E"/>
    <w:lvl w:ilvl="0" w:tplc="88883D04">
      <w:start w:val="1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D7E3F95"/>
    <w:multiLevelType w:val="multilevel"/>
    <w:tmpl w:val="064AA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6"/>
  </w:num>
  <w:num w:numId="4">
    <w:abstractNumId w:val="15"/>
  </w:num>
  <w:num w:numId="5">
    <w:abstractNumId w:val="13"/>
  </w:num>
  <w:num w:numId="6">
    <w:abstractNumId w:val="10"/>
  </w:num>
  <w:num w:numId="7">
    <w:abstractNumId w:val="17"/>
  </w:num>
  <w:num w:numId="8">
    <w:abstractNumId w:val="11"/>
  </w:num>
  <w:num w:numId="9">
    <w:abstractNumId w:val="9"/>
  </w:num>
  <w:num w:numId="10">
    <w:abstractNumId w:val="2"/>
  </w:num>
  <w:num w:numId="11">
    <w:abstractNumId w:val="16"/>
  </w:num>
  <w:num w:numId="12">
    <w:abstractNumId w:val="1"/>
  </w:num>
  <w:num w:numId="13">
    <w:abstractNumId w:val="0"/>
  </w:num>
  <w:num w:numId="14">
    <w:abstractNumId w:val="4"/>
  </w:num>
  <w:num w:numId="15">
    <w:abstractNumId w:val="5"/>
  </w:num>
  <w:num w:numId="16">
    <w:abstractNumId w:val="8"/>
  </w:num>
  <w:num w:numId="17">
    <w:abstractNumId w:val="3"/>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8BC"/>
    <w:rsid w:val="00064738"/>
    <w:rsid w:val="00125031"/>
    <w:rsid w:val="00147D11"/>
    <w:rsid w:val="001B5ECD"/>
    <w:rsid w:val="00323701"/>
    <w:rsid w:val="003D5ED5"/>
    <w:rsid w:val="003F7838"/>
    <w:rsid w:val="00551BB7"/>
    <w:rsid w:val="006261E2"/>
    <w:rsid w:val="00645CB6"/>
    <w:rsid w:val="006D0BF4"/>
    <w:rsid w:val="006F41CB"/>
    <w:rsid w:val="007D1A29"/>
    <w:rsid w:val="007E7C82"/>
    <w:rsid w:val="00815D61"/>
    <w:rsid w:val="00841584"/>
    <w:rsid w:val="00881F44"/>
    <w:rsid w:val="008A153F"/>
    <w:rsid w:val="009A3368"/>
    <w:rsid w:val="009C3163"/>
    <w:rsid w:val="009D5A34"/>
    <w:rsid w:val="00A742AF"/>
    <w:rsid w:val="00B538BC"/>
    <w:rsid w:val="00B6727B"/>
    <w:rsid w:val="00BF716D"/>
    <w:rsid w:val="00C14050"/>
    <w:rsid w:val="00C452FD"/>
    <w:rsid w:val="00CB0F47"/>
    <w:rsid w:val="00D45CFD"/>
    <w:rsid w:val="00D75221"/>
    <w:rsid w:val="00DB5792"/>
    <w:rsid w:val="00DE074E"/>
    <w:rsid w:val="00DF76D1"/>
    <w:rsid w:val="00E31D7B"/>
    <w:rsid w:val="00E52E18"/>
    <w:rsid w:val="00E6409B"/>
    <w:rsid w:val="00E772DC"/>
    <w:rsid w:val="00F60952"/>
    <w:rsid w:val="00F827AA"/>
    <w:rsid w:val="00FA09A1"/>
    <w:rsid w:val="00FC05A7"/>
    <w:rsid w:val="00FF67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82D8A"/>
  <w15:docId w15:val="{B2B65DBE-487F-439A-A822-4A0B791D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pPr>
    <w:rPr>
      <w:rFonts w:ascii="Calibri" w:eastAsia="Calibri" w:hAnsi="Calibri"/>
      <w:sz w:val="22"/>
      <w:szCs w:val="22"/>
      <w:lang w:eastAsia="en-US"/>
    </w:rPr>
  </w:style>
  <w:style w:type="paragraph" w:styleId="Titolo1">
    <w:name w:val="heading 1"/>
    <w:basedOn w:val="Normale"/>
    <w:next w:val="Normale"/>
    <w:uiPriority w:val="9"/>
    <w:qFormat/>
    <w:pPr>
      <w:keepNext/>
      <w:spacing w:after="0" w:line="240" w:lineRule="auto"/>
      <w:jc w:val="center"/>
      <w:outlineLvl w:val="0"/>
    </w:pPr>
    <w:rPr>
      <w:rFonts w:ascii="Times New Roman" w:eastAsia="Times New Roman" w:hAnsi="Times New Roman"/>
      <w:b/>
      <w:sz w:val="24"/>
      <w:szCs w:val="20"/>
      <w:lang w:eastAsia="it-IT"/>
    </w:rPr>
  </w:style>
  <w:style w:type="paragraph" w:styleId="Titolo2">
    <w:name w:val="heading 2"/>
    <w:basedOn w:val="Normale"/>
    <w:next w:val="Normale"/>
    <w:uiPriority w:val="9"/>
    <w:semiHidden/>
    <w:unhideWhenUsed/>
    <w:qFormat/>
    <w:pPr>
      <w:keepNext/>
      <w:spacing w:after="0" w:line="240" w:lineRule="auto"/>
      <w:jc w:val="both"/>
      <w:outlineLvl w:val="1"/>
    </w:pPr>
    <w:rPr>
      <w:rFonts w:ascii="Times New Roman" w:eastAsia="Times New Roman" w:hAnsi="Times New Roman"/>
      <w:b/>
      <w:sz w:val="24"/>
      <w:szCs w:val="20"/>
      <w:lang w:eastAsia="it-IT"/>
    </w:rPr>
  </w:style>
  <w:style w:type="paragraph" w:styleId="Titolo3">
    <w:name w:val="heading 3"/>
    <w:basedOn w:val="Normale"/>
    <w:next w:val="Normale"/>
    <w:uiPriority w:val="9"/>
    <w:semiHidden/>
    <w:unhideWhenUsed/>
    <w:qFormat/>
    <w:pPr>
      <w:keepNext/>
      <w:spacing w:after="0" w:line="240" w:lineRule="auto"/>
      <w:jc w:val="both"/>
      <w:outlineLvl w:val="2"/>
    </w:pPr>
    <w:rPr>
      <w:rFonts w:ascii="Times New Roman" w:eastAsia="Times New Roman" w:hAnsi="Times New Roman"/>
      <w:b/>
      <w:szCs w:val="20"/>
      <w:lang w:eastAsia="it-IT"/>
    </w:rPr>
  </w:style>
  <w:style w:type="paragraph" w:styleId="Titolo4">
    <w:name w:val="heading 4"/>
    <w:basedOn w:val="Normale"/>
    <w:next w:val="Normale"/>
    <w:uiPriority w:val="9"/>
    <w:semiHidden/>
    <w:unhideWhenUsed/>
    <w:qFormat/>
    <w:pPr>
      <w:keepNext/>
      <w:spacing w:after="0" w:line="240" w:lineRule="auto"/>
      <w:jc w:val="both"/>
      <w:outlineLvl w:val="3"/>
    </w:pPr>
    <w:rPr>
      <w:rFonts w:ascii="Verdana" w:eastAsia="Times New Roman" w:hAnsi="Verdana"/>
      <w:b/>
      <w:sz w:val="20"/>
      <w:szCs w:val="20"/>
      <w:lang w:eastAsia="it-IT"/>
    </w:rPr>
  </w:style>
  <w:style w:type="paragraph" w:styleId="Titolo5">
    <w:name w:val="heading 5"/>
    <w:basedOn w:val="Normale"/>
    <w:next w:val="Normale"/>
    <w:uiPriority w:val="9"/>
    <w:semiHidden/>
    <w:unhideWhenUsed/>
    <w:qFormat/>
    <w:pPr>
      <w:keepNext/>
      <w:spacing w:after="0" w:line="240" w:lineRule="auto"/>
      <w:jc w:val="center"/>
      <w:outlineLvl w:val="4"/>
    </w:pPr>
    <w:rPr>
      <w:rFonts w:ascii="Times New Roman" w:eastAsia="Times New Roman" w:hAnsi="Times New Roman"/>
      <w:sz w:val="28"/>
      <w:szCs w:val="20"/>
      <w:lang w:eastAsia="it-IT"/>
    </w:rPr>
  </w:style>
  <w:style w:type="paragraph" w:styleId="Titolo6">
    <w:name w:val="heading 6"/>
    <w:basedOn w:val="Normale"/>
    <w:next w:val="Normale"/>
    <w:uiPriority w:val="9"/>
    <w:semiHidden/>
    <w:unhideWhenUsed/>
    <w:qFormat/>
    <w:pPr>
      <w:keepNext/>
      <w:spacing w:after="0" w:line="240" w:lineRule="auto"/>
      <w:outlineLvl w:val="5"/>
    </w:pPr>
    <w:rPr>
      <w:rFonts w:ascii="Arial" w:eastAsia="Times New Roman" w:hAnsi="Arial"/>
      <w:b/>
      <w:color w:val="000000"/>
      <w:sz w:val="18"/>
      <w:szCs w:val="20"/>
      <w:lang w:eastAsia="it-IT"/>
    </w:rPr>
  </w:style>
  <w:style w:type="paragraph" w:styleId="Titolo7">
    <w:name w:val="heading 7"/>
    <w:basedOn w:val="Normale"/>
    <w:next w:val="Normale"/>
    <w:pPr>
      <w:keepNext/>
      <w:spacing w:after="0" w:line="240" w:lineRule="auto"/>
      <w:jc w:val="both"/>
      <w:outlineLvl w:val="6"/>
    </w:pPr>
    <w:rPr>
      <w:rFonts w:ascii="Arial" w:eastAsia="Times New Roman" w:hAnsi="Arial"/>
      <w:b/>
      <w:sz w:val="18"/>
      <w:szCs w:val="20"/>
      <w:lang w:eastAsia="it-IT"/>
    </w:rPr>
  </w:style>
  <w:style w:type="paragraph" w:styleId="Titolo8">
    <w:name w:val="heading 8"/>
    <w:basedOn w:val="Normale"/>
    <w:next w:val="Normale"/>
    <w:pPr>
      <w:keepNext/>
      <w:spacing w:after="0" w:line="240" w:lineRule="auto"/>
      <w:ind w:right="-1"/>
      <w:jc w:val="center"/>
      <w:outlineLvl w:val="7"/>
    </w:pPr>
    <w:rPr>
      <w:rFonts w:ascii="MyriadPro-It" w:eastAsia="Times New Roman" w:hAnsi="MyriadPro-It"/>
      <w:sz w:val="36"/>
      <w:szCs w:val="20"/>
      <w:lang w:eastAsia="it-IT"/>
    </w:rPr>
  </w:style>
  <w:style w:type="paragraph" w:styleId="Titolo9">
    <w:name w:val="heading 9"/>
    <w:basedOn w:val="Normale"/>
    <w:next w:val="Normale"/>
    <w:pPr>
      <w:keepNext/>
      <w:spacing w:after="0" w:line="240" w:lineRule="auto"/>
      <w:ind w:right="-1"/>
      <w:jc w:val="center"/>
      <w:outlineLvl w:val="8"/>
    </w:pPr>
    <w:rPr>
      <w:rFonts w:ascii="Arial" w:eastAsia="Times New Roman" w:hAnsi="Arial"/>
      <w:b/>
      <w:sz w:val="32"/>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1">
    <w:name w:val="WW_OutlineListStyle_1"/>
    <w:basedOn w:val="Nessunelenco"/>
    <w:pPr>
      <w:numPr>
        <w:numId w:val="1"/>
      </w:numPr>
    </w:pPr>
  </w:style>
  <w:style w:type="paragraph" w:customStyle="1" w:styleId="S2">
    <w:name w:val="S2"/>
    <w:basedOn w:val="Normale"/>
    <w:autoRedefine/>
    <w:pPr>
      <w:numPr>
        <w:numId w:val="1"/>
      </w:numPr>
      <w:spacing w:after="0" w:line="240" w:lineRule="auto"/>
      <w:outlineLvl w:val="0"/>
    </w:pPr>
    <w:rPr>
      <w:rFonts w:ascii="Tempus Sans ITC" w:eastAsia="Times New Roman" w:hAnsi="Tempus Sans ITC"/>
      <w:b/>
      <w:sz w:val="26"/>
      <w:szCs w:val="20"/>
      <w:lang w:eastAsia="it-IT"/>
    </w:rPr>
  </w:style>
  <w:style w:type="paragraph" w:customStyle="1" w:styleId="Tabella">
    <w:name w:val="Tabella"/>
    <w:basedOn w:val="Titolo2"/>
    <w:pPr>
      <w:spacing w:before="120" w:after="60"/>
    </w:pPr>
    <w:rPr>
      <w:b w:val="0"/>
      <w:i/>
    </w:rPr>
  </w:style>
  <w:style w:type="character" w:customStyle="1" w:styleId="Titolo4Carattere">
    <w:name w:val="Titolo 4 Carattere"/>
    <w:rPr>
      <w:rFonts w:ascii="Verdana" w:hAnsi="Verdana"/>
      <w:b/>
    </w:rPr>
  </w:style>
  <w:style w:type="character" w:customStyle="1" w:styleId="Titolo5Carattere">
    <w:name w:val="Titolo 5 Carattere"/>
    <w:rPr>
      <w:sz w:val="28"/>
    </w:rPr>
  </w:style>
  <w:style w:type="character" w:customStyle="1" w:styleId="Titolo6Carattere">
    <w:name w:val="Titolo 6 Carattere"/>
    <w:rPr>
      <w:rFonts w:ascii="Arial" w:hAnsi="Arial"/>
      <w:b/>
      <w:color w:val="000000"/>
      <w:sz w:val="18"/>
    </w:rPr>
  </w:style>
  <w:style w:type="paragraph" w:styleId="Corpotesto">
    <w:name w:val="Body Text"/>
    <w:basedOn w:val="Normale"/>
    <w:pPr>
      <w:spacing w:after="0" w:line="240" w:lineRule="auto"/>
      <w:jc w:val="both"/>
    </w:pPr>
    <w:rPr>
      <w:rFonts w:ascii="Times New Roman" w:eastAsia="Times New Roman" w:hAnsi="Times New Roman"/>
      <w:sz w:val="28"/>
      <w:szCs w:val="20"/>
      <w:lang w:eastAsia="it-IT"/>
    </w:rPr>
  </w:style>
  <w:style w:type="paragraph" w:styleId="Corpodeltesto2">
    <w:name w:val="Body Text 2"/>
    <w:basedOn w:val="Normale"/>
    <w:pPr>
      <w:spacing w:after="0" w:line="240" w:lineRule="auto"/>
      <w:jc w:val="both"/>
    </w:pPr>
    <w:rPr>
      <w:rFonts w:ascii="Times New Roman" w:eastAsia="Times New Roman" w:hAnsi="Times New Roman"/>
      <w:sz w:val="26"/>
      <w:szCs w:val="20"/>
      <w:lang w:eastAsia="it-IT"/>
    </w:rPr>
  </w:style>
  <w:style w:type="paragraph" w:styleId="Titolo">
    <w:name w:val="Title"/>
    <w:basedOn w:val="Normale"/>
    <w:uiPriority w:val="10"/>
    <w:qFormat/>
    <w:pPr>
      <w:spacing w:after="0" w:line="240" w:lineRule="auto"/>
      <w:jc w:val="center"/>
    </w:pPr>
    <w:rPr>
      <w:rFonts w:ascii="Times New Roman" w:eastAsia="Times New Roman" w:hAnsi="Times New Roman"/>
      <w:i/>
      <w:sz w:val="26"/>
      <w:szCs w:val="20"/>
      <w:lang w:eastAsia="it-IT"/>
    </w:rPr>
  </w:style>
  <w:style w:type="paragraph" w:styleId="Sottotitolo">
    <w:name w:val="Subtitle"/>
    <w:basedOn w:val="Normale"/>
    <w:uiPriority w:val="11"/>
    <w:qFormat/>
    <w:pPr>
      <w:spacing w:after="0" w:line="240" w:lineRule="auto"/>
      <w:jc w:val="center"/>
    </w:pPr>
    <w:rPr>
      <w:rFonts w:ascii="Times New Roman" w:eastAsia="Times New Roman" w:hAnsi="Times New Roman"/>
      <w:b/>
      <w:sz w:val="32"/>
      <w:szCs w:val="20"/>
      <w:lang w:eastAsia="it-IT"/>
    </w:rPr>
  </w:style>
  <w:style w:type="character" w:styleId="Collegamentoipertestuale">
    <w:name w:val="Hyperlink"/>
    <w:rPr>
      <w:color w:val="0000FF"/>
      <w:u w:val="single"/>
    </w:rPr>
  </w:style>
  <w:style w:type="paragraph" w:styleId="Mappadocumento">
    <w:name w:val="Document Map"/>
    <w:basedOn w:val="Normale"/>
    <w:pPr>
      <w:shd w:val="clear" w:color="auto" w:fill="000080"/>
      <w:spacing w:after="0" w:line="240" w:lineRule="auto"/>
      <w:jc w:val="both"/>
    </w:pPr>
    <w:rPr>
      <w:rFonts w:ascii="Tahoma" w:eastAsia="Times New Roman" w:hAnsi="Tahoma"/>
      <w:sz w:val="24"/>
      <w:szCs w:val="20"/>
      <w:lang w:eastAsia="it-IT"/>
    </w:rPr>
  </w:style>
  <w:style w:type="paragraph" w:styleId="Intestazione">
    <w:name w:val="header"/>
    <w:basedOn w:val="Normale"/>
    <w:pPr>
      <w:tabs>
        <w:tab w:val="center" w:pos="4819"/>
        <w:tab w:val="right" w:pos="9638"/>
      </w:tabs>
      <w:spacing w:after="0" w:line="240" w:lineRule="auto"/>
      <w:jc w:val="both"/>
    </w:pPr>
    <w:rPr>
      <w:rFonts w:ascii="Times New Roman" w:eastAsia="Times New Roman" w:hAnsi="Times New Roman"/>
      <w:sz w:val="24"/>
      <w:szCs w:val="20"/>
      <w:lang w:eastAsia="it-IT"/>
    </w:rPr>
  </w:style>
  <w:style w:type="paragraph" w:styleId="Pidipagina">
    <w:name w:val="footer"/>
    <w:basedOn w:val="Normale"/>
    <w:pPr>
      <w:tabs>
        <w:tab w:val="center" w:pos="4819"/>
        <w:tab w:val="right" w:pos="9638"/>
      </w:tabs>
      <w:spacing w:after="0" w:line="240" w:lineRule="auto"/>
      <w:jc w:val="both"/>
    </w:pPr>
    <w:rPr>
      <w:rFonts w:ascii="Times New Roman" w:eastAsia="Times New Roman" w:hAnsi="Times New Roman"/>
      <w:sz w:val="24"/>
      <w:szCs w:val="20"/>
      <w:lang w:eastAsia="it-IT"/>
    </w:rPr>
  </w:style>
  <w:style w:type="paragraph" w:styleId="Corpodeltesto3">
    <w:name w:val="Body Text 3"/>
    <w:basedOn w:val="Normale"/>
    <w:pPr>
      <w:spacing w:after="0" w:line="240" w:lineRule="auto"/>
      <w:jc w:val="both"/>
    </w:pPr>
    <w:rPr>
      <w:rFonts w:ascii="Times New Roman" w:eastAsia="Times New Roman" w:hAnsi="Times New Roman"/>
      <w:i/>
      <w:sz w:val="24"/>
      <w:szCs w:val="20"/>
      <w:lang w:eastAsia="it-IT"/>
    </w:rPr>
  </w:style>
  <w:style w:type="paragraph" w:styleId="Testonotaapidipagina">
    <w:name w:val="footnote text"/>
    <w:basedOn w:val="Normale"/>
    <w:pPr>
      <w:spacing w:after="0" w:line="240" w:lineRule="auto"/>
    </w:pPr>
    <w:rPr>
      <w:rFonts w:ascii="Times New Roman" w:eastAsia="Times New Roman" w:hAnsi="Times New Roman"/>
      <w:sz w:val="20"/>
      <w:szCs w:val="20"/>
      <w:lang w:eastAsia="it-IT"/>
    </w:rPr>
  </w:style>
  <w:style w:type="character" w:styleId="Rimandonotaapidipagina">
    <w:name w:val="footnote reference"/>
    <w:rPr>
      <w:position w:val="0"/>
      <w:vertAlign w:val="superscript"/>
    </w:rPr>
  </w:style>
  <w:style w:type="paragraph" w:styleId="Testodelblocco">
    <w:name w:val="Block Text"/>
    <w:basedOn w:val="Normale"/>
    <w:pPr>
      <w:spacing w:after="0" w:line="240" w:lineRule="auto"/>
      <w:ind w:left="-284" w:right="-285"/>
      <w:jc w:val="center"/>
    </w:pPr>
    <w:rPr>
      <w:rFonts w:ascii="Verdana" w:eastAsia="Times New Roman" w:hAnsi="Verdana"/>
      <w:b/>
      <w:sz w:val="32"/>
      <w:szCs w:val="20"/>
      <w:lang w:eastAsia="it-IT"/>
    </w:rPr>
  </w:style>
  <w:style w:type="paragraph" w:customStyle="1" w:styleId="xl41">
    <w:name w:val="xl41"/>
    <w:basedOn w:val="Normale"/>
    <w:pPr>
      <w:spacing w:before="100" w:after="100" w:line="240" w:lineRule="auto"/>
      <w:jc w:val="both"/>
    </w:pPr>
    <w:rPr>
      <w:rFonts w:ascii="Times New Roman" w:eastAsia="Arial Unicode MS" w:hAnsi="Times New Roman"/>
      <w:sz w:val="24"/>
      <w:szCs w:val="20"/>
      <w:lang w:eastAsia="it-IT"/>
    </w:rPr>
  </w:style>
  <w:style w:type="paragraph" w:styleId="Didascalia">
    <w:name w:val="caption"/>
    <w:basedOn w:val="Normale"/>
    <w:next w:val="Normale"/>
    <w:pPr>
      <w:spacing w:after="240" w:line="240" w:lineRule="auto"/>
      <w:jc w:val="both"/>
    </w:pPr>
    <w:rPr>
      <w:rFonts w:ascii="Times New Roman" w:eastAsia="Times New Roman" w:hAnsi="Times New Roman"/>
      <w:i/>
      <w:sz w:val="20"/>
      <w:szCs w:val="20"/>
      <w:lang w:eastAsia="it-IT"/>
    </w:rPr>
  </w:style>
  <w:style w:type="paragraph" w:customStyle="1" w:styleId="Fonte">
    <w:name w:val="Fonte"/>
    <w:basedOn w:val="Didascalia"/>
    <w:pPr>
      <w:spacing w:after="0"/>
    </w:pPr>
    <w:rPr>
      <w:i w:val="0"/>
      <w:sz w:val="18"/>
    </w:rPr>
  </w:style>
  <w:style w:type="paragraph" w:customStyle="1" w:styleId="Stile1">
    <w:name w:val="Stile1"/>
    <w:basedOn w:val="Normale"/>
    <w:pPr>
      <w:spacing w:after="240" w:line="240" w:lineRule="auto"/>
      <w:jc w:val="both"/>
    </w:pPr>
    <w:rPr>
      <w:rFonts w:ascii="Courier New" w:eastAsia="Times New Roman" w:hAnsi="Courier New"/>
      <w:sz w:val="20"/>
      <w:szCs w:val="20"/>
      <w:lang w:eastAsia="it-IT"/>
    </w:rPr>
  </w:style>
  <w:style w:type="paragraph" w:styleId="Sommario4">
    <w:name w:val="toc 4"/>
    <w:basedOn w:val="Normale"/>
    <w:next w:val="Normale"/>
    <w:autoRedefine/>
    <w:pPr>
      <w:spacing w:after="240" w:line="240" w:lineRule="auto"/>
      <w:ind w:left="720"/>
      <w:jc w:val="both"/>
    </w:pPr>
    <w:rPr>
      <w:rFonts w:ascii="Times New Roman" w:eastAsia="Times New Roman" w:hAnsi="Times New Roman"/>
      <w:sz w:val="24"/>
      <w:szCs w:val="20"/>
      <w:lang w:eastAsia="it-IT"/>
    </w:rPr>
  </w:style>
  <w:style w:type="paragraph" w:styleId="Sommario6">
    <w:name w:val="toc 6"/>
    <w:basedOn w:val="Normale"/>
    <w:next w:val="Normale"/>
    <w:autoRedefine/>
    <w:pPr>
      <w:spacing w:after="240" w:line="240" w:lineRule="auto"/>
      <w:ind w:left="1200"/>
      <w:jc w:val="both"/>
    </w:pPr>
    <w:rPr>
      <w:rFonts w:ascii="Times New Roman" w:eastAsia="Times New Roman" w:hAnsi="Times New Roman"/>
      <w:sz w:val="24"/>
      <w:szCs w:val="20"/>
      <w:lang w:eastAsia="it-IT"/>
    </w:rPr>
  </w:style>
  <w:style w:type="paragraph" w:styleId="Sommario3">
    <w:name w:val="toc 3"/>
    <w:basedOn w:val="Normale"/>
    <w:next w:val="Normale"/>
    <w:autoRedefine/>
    <w:pPr>
      <w:spacing w:after="240" w:line="240" w:lineRule="auto"/>
      <w:ind w:left="480"/>
      <w:jc w:val="both"/>
    </w:pPr>
    <w:rPr>
      <w:rFonts w:ascii="Times New Roman" w:eastAsia="Times New Roman" w:hAnsi="Times New Roman"/>
      <w:sz w:val="24"/>
      <w:szCs w:val="20"/>
      <w:lang w:eastAsia="it-IT"/>
    </w:rPr>
  </w:style>
  <w:style w:type="paragraph" w:customStyle="1" w:styleId="StileStileStileTitolo114pt12pt">
    <w:name w:val="Stile Stile Stile Titolo 1 + + 14 pt + 12 pt"/>
    <w:basedOn w:val="Normale"/>
    <w:autoRedefine/>
    <w:pPr>
      <w:keepNext/>
      <w:spacing w:after="0" w:line="360" w:lineRule="auto"/>
      <w:ind w:firstLine="708"/>
      <w:jc w:val="both"/>
      <w:outlineLvl w:val="0"/>
    </w:pPr>
    <w:rPr>
      <w:rFonts w:ascii="Tahoma" w:eastAsia="Times New Roman" w:hAnsi="Tahoma"/>
      <w:sz w:val="28"/>
      <w:szCs w:val="24"/>
      <w:lang w:eastAsia="it-IT"/>
    </w:rPr>
  </w:style>
  <w:style w:type="character" w:customStyle="1" w:styleId="RientrocorpodeltestoCarattere">
    <w:name w:val="Rientro corpo del testo Carattere"/>
    <w:rPr>
      <w:sz w:val="24"/>
      <w:szCs w:val="24"/>
    </w:rPr>
  </w:style>
  <w:style w:type="paragraph" w:styleId="Rientrocorpodeltesto">
    <w:name w:val="Body Text Indent"/>
    <w:basedOn w:val="Normale"/>
    <w:pPr>
      <w:spacing w:after="0" w:line="240" w:lineRule="auto"/>
      <w:ind w:left="708"/>
      <w:jc w:val="both"/>
    </w:pPr>
    <w:rPr>
      <w:rFonts w:ascii="Times New Roman" w:eastAsia="Times New Roman" w:hAnsi="Times New Roman"/>
      <w:sz w:val="24"/>
      <w:szCs w:val="24"/>
      <w:lang w:eastAsia="it-IT"/>
    </w:rPr>
  </w:style>
  <w:style w:type="character" w:customStyle="1" w:styleId="Rientrocorpodeltesto2Carattere">
    <w:name w:val="Rientro corpo del testo 2 Carattere"/>
    <w:rPr>
      <w:rFonts w:ascii="Tahoma" w:hAnsi="Tahoma"/>
      <w:b/>
      <w:sz w:val="32"/>
      <w:szCs w:val="24"/>
    </w:rPr>
  </w:style>
  <w:style w:type="paragraph" w:styleId="Rientrocorpodeltesto2">
    <w:name w:val="Body Text Indent 2"/>
    <w:basedOn w:val="Normale"/>
    <w:pPr>
      <w:widowControl w:val="0"/>
      <w:spacing w:after="0" w:line="360" w:lineRule="auto"/>
      <w:ind w:left="-840"/>
    </w:pPr>
    <w:rPr>
      <w:rFonts w:ascii="Tahoma" w:eastAsia="Times New Roman" w:hAnsi="Tahoma"/>
      <w:b/>
      <w:sz w:val="32"/>
      <w:szCs w:val="24"/>
      <w:lang w:eastAsia="it-IT"/>
    </w:rPr>
  </w:style>
  <w:style w:type="character" w:customStyle="1" w:styleId="Rientrocorpodeltesto3Carattere">
    <w:name w:val="Rientro corpo del testo 3 Carattere"/>
    <w:rPr>
      <w:rFonts w:ascii="Tahoma" w:hAnsi="Tahoma"/>
      <w:sz w:val="28"/>
      <w:szCs w:val="24"/>
    </w:rPr>
  </w:style>
  <w:style w:type="paragraph" w:styleId="Rientrocorpodeltesto3">
    <w:name w:val="Body Text Indent 3"/>
    <w:basedOn w:val="Normale"/>
    <w:pPr>
      <w:spacing w:after="0" w:line="240" w:lineRule="auto"/>
      <w:ind w:left="708"/>
    </w:pPr>
    <w:rPr>
      <w:rFonts w:ascii="Tahoma" w:eastAsia="Times New Roman" w:hAnsi="Tahoma"/>
      <w:sz w:val="28"/>
      <w:szCs w:val="24"/>
      <w:lang w:eastAsia="it-IT"/>
    </w:rPr>
  </w:style>
  <w:style w:type="paragraph" w:customStyle="1" w:styleId="Rientrolettere">
    <w:name w:val="Rientro lettere"/>
    <w:basedOn w:val="Normale"/>
    <w:pPr>
      <w:numPr>
        <w:numId w:val="3"/>
      </w:numPr>
      <w:spacing w:after="0" w:line="240" w:lineRule="auto"/>
    </w:pPr>
    <w:rPr>
      <w:rFonts w:ascii="Times New Roman" w:eastAsia="Times New Roman" w:hAnsi="Times New Roman"/>
      <w:sz w:val="20"/>
      <w:szCs w:val="24"/>
      <w:lang w:eastAsia="it-IT"/>
    </w:rPr>
  </w:style>
  <w:style w:type="paragraph" w:styleId="Paragrafoelenco">
    <w:name w:val="List Paragraph"/>
    <w:basedOn w:val="Normale"/>
    <w:uiPriority w:val="34"/>
    <w:qFormat/>
    <w:pPr>
      <w:ind w:left="720"/>
    </w:pPr>
    <w:rPr>
      <w:szCs w:val="24"/>
      <w:lang w:eastAsia="it-IT"/>
    </w:rPr>
  </w:style>
  <w:style w:type="character" w:customStyle="1" w:styleId="TestofumettoCarattere">
    <w:name w:val="Testo fumetto Carattere"/>
    <w:rPr>
      <w:rFonts w:ascii="Tahoma" w:hAnsi="Tahoma"/>
      <w:sz w:val="16"/>
      <w:szCs w:val="16"/>
    </w:rPr>
  </w:style>
  <w:style w:type="paragraph" w:styleId="Testofumetto">
    <w:name w:val="Balloon Text"/>
    <w:basedOn w:val="Normale"/>
    <w:pPr>
      <w:spacing w:after="0" w:line="240" w:lineRule="auto"/>
    </w:pPr>
    <w:rPr>
      <w:rFonts w:ascii="Tahoma" w:eastAsia="Times New Roman" w:hAnsi="Tahoma"/>
      <w:sz w:val="16"/>
      <w:szCs w:val="16"/>
    </w:rPr>
  </w:style>
  <w:style w:type="character" w:customStyle="1" w:styleId="style132">
    <w:name w:val="style132"/>
  </w:style>
  <w:style w:type="paragraph" w:styleId="NormaleWeb">
    <w:name w:val="Normal (Web)"/>
    <w:basedOn w:val="Normale"/>
    <w:uiPriority w:val="99"/>
    <w:pPr>
      <w:spacing w:before="100" w:after="100" w:line="240" w:lineRule="auto"/>
    </w:pPr>
    <w:rPr>
      <w:rFonts w:ascii="Times New Roman" w:eastAsia="Times New Roman" w:hAnsi="Times New Roman"/>
      <w:sz w:val="24"/>
      <w:szCs w:val="24"/>
      <w:lang w:eastAsia="it-IT"/>
    </w:rPr>
  </w:style>
  <w:style w:type="character" w:styleId="Enfasigrassetto">
    <w:name w:val="Strong"/>
    <w:uiPriority w:val="22"/>
    <w:qFormat/>
    <w:rPr>
      <w:b/>
      <w:bCs/>
    </w:rPr>
  </w:style>
  <w:style w:type="character" w:customStyle="1" w:styleId="IntestazioneCarattere">
    <w:name w:val="Intestazione Carattere"/>
    <w:rPr>
      <w:sz w:val="24"/>
    </w:rPr>
  </w:style>
  <w:style w:type="character" w:customStyle="1" w:styleId="Menzionenonrisolta1">
    <w:name w:val="Menzione non risolta1"/>
    <w:rPr>
      <w:color w:val="605E5C"/>
      <w:shd w:val="clear" w:color="auto" w:fill="E1DFDD"/>
    </w:rPr>
  </w:style>
  <w:style w:type="paragraph" w:styleId="Nessunaspaziatura">
    <w:name w:val="No Spacing"/>
    <w:pPr>
      <w:suppressAutoHyphens/>
    </w:pPr>
    <w:rPr>
      <w:rFonts w:ascii="Calibri" w:eastAsia="Calibri" w:hAnsi="Calibri"/>
      <w:sz w:val="22"/>
      <w:szCs w:val="22"/>
      <w:lang w:eastAsia="en-US"/>
    </w:rPr>
  </w:style>
  <w:style w:type="character" w:customStyle="1" w:styleId="TitoloCarattere">
    <w:name w:val="Titolo Carattere"/>
    <w:rPr>
      <w:i/>
      <w:sz w:val="26"/>
    </w:rPr>
  </w:style>
  <w:style w:type="character" w:customStyle="1" w:styleId="Menzionenonrisolta2">
    <w:name w:val="Menzione non risolta2"/>
    <w:basedOn w:val="Carpredefinitoparagrafo"/>
    <w:rPr>
      <w:color w:val="605E5C"/>
      <w:shd w:val="clear" w:color="auto" w:fill="E1DFDD"/>
    </w:rPr>
  </w:style>
  <w:style w:type="character" w:styleId="Collegamentovisitato">
    <w:name w:val="FollowedHyperlink"/>
    <w:basedOn w:val="Carpredefinitoparagrafo"/>
    <w:rPr>
      <w:color w:val="800080"/>
      <w:u w:val="single"/>
    </w:rPr>
  </w:style>
  <w:style w:type="character" w:customStyle="1" w:styleId="classeditor50">
    <w:name w:val="classeditor50"/>
    <w:basedOn w:val="Carpredefinitoparagrafo"/>
  </w:style>
  <w:style w:type="character" w:customStyle="1" w:styleId="Menzionenonrisolta3">
    <w:name w:val="Menzione non risolta3"/>
    <w:basedOn w:val="Carpredefinitoparagrafo"/>
    <w:rPr>
      <w:color w:val="605E5C"/>
      <w:shd w:val="clear" w:color="auto" w:fill="E1DFDD"/>
    </w:rPr>
  </w:style>
  <w:style w:type="character" w:customStyle="1" w:styleId="TestonotaapidipaginaCarattere">
    <w:name w:val="Testo nota a piè di pagina Carattere"/>
  </w:style>
  <w:style w:type="character" w:styleId="Enfasicorsivo">
    <w:name w:val="Emphasis"/>
    <w:basedOn w:val="Carpredefinitoparagrafo"/>
    <w:uiPriority w:val="20"/>
    <w:qFormat/>
    <w:rPr>
      <w:i/>
      <w:iCs/>
    </w:rPr>
  </w:style>
  <w:style w:type="numbering" w:customStyle="1" w:styleId="WWOutlineListStyle">
    <w:name w:val="WW_OutlineListStyle"/>
    <w:basedOn w:val="Nessunelenco"/>
    <w:pPr>
      <w:numPr>
        <w:numId w:val="2"/>
      </w:numPr>
    </w:pPr>
  </w:style>
  <w:style w:type="numbering" w:customStyle="1" w:styleId="LFO2">
    <w:name w:val="LFO2"/>
    <w:basedOn w:val="Nessunelenco"/>
    <w:pPr>
      <w:numPr>
        <w:numId w:val="3"/>
      </w:numPr>
    </w:pPr>
  </w:style>
  <w:style w:type="paragraph" w:customStyle="1" w:styleId="isselectedend">
    <w:name w:val="isselectedend"/>
    <w:basedOn w:val="Normale"/>
    <w:rsid w:val="00841584"/>
    <w:pPr>
      <w:suppressAutoHyphens w:val="0"/>
      <w:autoSpaceDN/>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pdq2pgselectionanchorcontainer">
    <w:name w:val="pdq2pg_selectionanchorcontainer"/>
    <w:basedOn w:val="Normale"/>
    <w:rsid w:val="009C3163"/>
    <w:pPr>
      <w:suppressAutoHyphens w:val="0"/>
      <w:autoSpaceDN/>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555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stat.it/produzione-editoriale/il-turismo-culturale-in-italia-analisi-territoriale-integrata-dei-dati/?utm_source=chatgpt.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1.finanze.gov.it/finanze/analisi_stat/public/index.php?tree=2025AAPFTOT021101&amp;utm_source=chatgp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ederculture.it/wp-content/uploads/2026/06/CS_Rapporto-Federculture_v3.pdf?utm_source=chatgpt.com" TargetMode="External"/><Relationship Id="rId4" Type="http://schemas.openxmlformats.org/officeDocument/2006/relationships/webSettings" Target="webSettings.xml"/><Relationship Id="rId9" Type="http://schemas.openxmlformats.org/officeDocument/2006/relationships/hyperlink" Target="https://www.istat.it/classificazione/classificazione-dei-comuni-in-base-alla-densita-turistica/?utm_source=chatgpt.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stampa.pg@umbria.camcom.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useppe%20Castellini\Desktop\Medio%20Oriente%20cs%20Camera%2031%20marzo\Modello%20comunicato%20stamp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Modello comunicato stampa</Template>
  <TotalTime>6</TotalTime>
  <Pages>4</Pages>
  <Words>1412</Words>
  <Characters>8054</Characters>
  <Application>Microsoft Office Word</Application>
  <DocSecurity>0</DocSecurity>
  <Lines>67</Lines>
  <Paragraphs>18</Paragraphs>
  <ScaleCrop>false</ScaleCrop>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stampa</dc:title>
  <dc:creator>cciaapg</dc:creator>
  <cp:lastModifiedBy>Giuseppe Castellini</cp:lastModifiedBy>
  <cp:revision>3</cp:revision>
  <cp:lastPrinted>2018-05-16T08:05:00Z</cp:lastPrinted>
  <dcterms:created xsi:type="dcterms:W3CDTF">2026-08-22T01:00:00Z</dcterms:created>
  <dcterms:modified xsi:type="dcterms:W3CDTF">2026-08-22T06:15:00Z</dcterms:modified>
</cp:coreProperties>
</file>