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9D94D" w14:textId="2E3D45A5" w:rsidR="00792E6F" w:rsidRPr="007C2381" w:rsidRDefault="00792E6F" w:rsidP="009C22C7">
      <w:pPr>
        <w:spacing w:before="360"/>
        <w:jc w:val="right"/>
        <w:rPr>
          <w:b/>
          <w:i/>
          <w:color w:val="FF0000"/>
          <w:sz w:val="48"/>
          <w:szCs w:val="48"/>
          <w:u w:val="singl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92E6F" w:rsidRPr="00491388" w14:paraId="19D667FF" w14:textId="77777777" w:rsidTr="00067A75">
        <w:trPr>
          <w:trHeight w:val="705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E22C86" w14:textId="77777777" w:rsidR="00792E6F" w:rsidRPr="00654099" w:rsidRDefault="00792E6F" w:rsidP="00067A75">
            <w:pPr>
              <w:keepNext/>
              <w:keepLines/>
              <w:spacing w:after="120" w:line="200" w:lineRule="exact"/>
              <w:jc w:val="center"/>
              <w:outlineLvl w:val="2"/>
              <w:rPr>
                <w:rFonts w:ascii="Maiandra GD" w:eastAsia="Maiandra GD" w:hAnsi="Maiandra GD"/>
                <w:b/>
                <w:color w:val="009FDF"/>
                <w:sz w:val="24"/>
                <w:szCs w:val="24"/>
                <w:lang w:val="en-US"/>
              </w:rPr>
            </w:pPr>
          </w:p>
          <w:p w14:paraId="64D2EA71" w14:textId="58A1903C" w:rsidR="00491388" w:rsidRPr="00491388" w:rsidRDefault="00C7528F" w:rsidP="00491388">
            <w:pPr>
              <w:keepNext/>
              <w:keepLines/>
              <w:spacing w:before="60" w:after="0"/>
              <w:jc w:val="center"/>
              <w:outlineLvl w:val="2"/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</w:pPr>
            <w:r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>1</w:t>
            </w:r>
            <w:r w:rsidR="00592B81" w:rsidRPr="00592B81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vertAlign w:val="superscript"/>
                <w:lang w:val="en-US"/>
              </w:rPr>
              <w:t>a</w:t>
            </w:r>
            <w:r w:rsidR="00735033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 xml:space="preserve"> </w:t>
            </w:r>
            <w:r w:rsidR="00792E6F"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 xml:space="preserve">convention </w:t>
            </w:r>
            <w:proofErr w:type="spellStart"/>
            <w:r w:rsidR="00491388"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>nazionale</w:t>
            </w:r>
            <w:proofErr w:type="spellEnd"/>
          </w:p>
          <w:p w14:paraId="0A78E21F" w14:textId="77777777" w:rsidR="00792E6F" w:rsidRDefault="00491388" w:rsidP="00BF15AF">
            <w:pPr>
              <w:keepNext/>
              <w:keepLines/>
              <w:spacing w:after="120"/>
              <w:jc w:val="center"/>
              <w:outlineLvl w:val="2"/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</w:pPr>
            <w:proofErr w:type="spellStart"/>
            <w:r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>ub</w:t>
            </w:r>
            <w:r w:rsidR="00BF15AF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>m</w:t>
            </w:r>
            <w:proofErr w:type="spellEnd"/>
            <w:r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 xml:space="preserve"> -</w:t>
            </w:r>
            <w:r w:rsidR="00792E6F"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 xml:space="preserve"> patent library </w:t>
            </w:r>
            <w:r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 xml:space="preserve">- </w:t>
            </w:r>
            <w:r w:rsidR="00792E6F" w:rsidRPr="00491388">
              <w:rPr>
                <w:rFonts w:ascii="Century Gothic" w:eastAsia="Century Gothic" w:hAnsi="Century Gothic"/>
                <w:b/>
                <w:i/>
                <w:smallCaps/>
                <w:color w:val="009FDF"/>
                <w:sz w:val="32"/>
                <w:szCs w:val="32"/>
                <w:lang w:val="en-US"/>
              </w:rPr>
              <w:t>patent information point</w:t>
            </w:r>
          </w:p>
          <w:p w14:paraId="5A877668" w14:textId="5FE7DD1A" w:rsidR="009C22C7" w:rsidRPr="00491388" w:rsidRDefault="009C22C7" w:rsidP="00BF15AF">
            <w:pPr>
              <w:keepNext/>
              <w:keepLines/>
              <w:spacing w:after="120"/>
              <w:jc w:val="center"/>
              <w:outlineLvl w:val="2"/>
              <w:rPr>
                <w:rFonts w:ascii="Century Gothic" w:eastAsia="Century Gothic" w:hAnsi="Century Gothic"/>
                <w:b/>
                <w:i/>
                <w:smallCaps/>
                <w:color w:val="009FDF"/>
                <w:sz w:val="36"/>
                <w:szCs w:val="36"/>
                <w:lang w:val="en-US"/>
              </w:rPr>
            </w:pPr>
            <w:r w:rsidRPr="009C22C7">
              <w:rPr>
                <w:rFonts w:ascii="Century Gothic" w:eastAsia="Century Gothic" w:hAnsi="Century Gothic"/>
                <w:b/>
                <w:i/>
                <w:smallCaps/>
                <w:color w:val="009FDF"/>
                <w:sz w:val="24"/>
                <w:szCs w:val="36"/>
                <w:lang w:val="en-US"/>
              </w:rPr>
              <w:t xml:space="preserve">7 </w:t>
            </w:r>
            <w:proofErr w:type="spellStart"/>
            <w:r w:rsidRPr="009C22C7">
              <w:rPr>
                <w:rFonts w:ascii="Century Gothic" w:eastAsia="Century Gothic" w:hAnsi="Century Gothic"/>
                <w:b/>
                <w:i/>
                <w:smallCaps/>
                <w:color w:val="009FDF"/>
                <w:sz w:val="24"/>
                <w:szCs w:val="36"/>
                <w:lang w:val="en-US"/>
              </w:rPr>
              <w:t>novembre</w:t>
            </w:r>
            <w:proofErr w:type="spellEnd"/>
            <w:r w:rsidRPr="009C22C7">
              <w:rPr>
                <w:rFonts w:ascii="Century Gothic" w:eastAsia="Century Gothic" w:hAnsi="Century Gothic"/>
                <w:b/>
                <w:i/>
                <w:smallCaps/>
                <w:color w:val="009FDF"/>
                <w:sz w:val="24"/>
                <w:szCs w:val="36"/>
                <w:lang w:val="en-US"/>
              </w:rPr>
              <w:t xml:space="preserve"> 2019</w:t>
            </w:r>
          </w:p>
        </w:tc>
      </w:tr>
      <w:tr w:rsidR="00792E6F" w:rsidRPr="005C7368" w14:paraId="63C9A088" w14:textId="77777777" w:rsidTr="007A75D8">
        <w:trPr>
          <w:trHeight w:val="850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6070E9" w14:textId="77777777" w:rsidR="009C22C7" w:rsidRPr="000E08BB" w:rsidRDefault="009C22C7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</w:p>
          <w:p w14:paraId="7BD87B39" w14:textId="77777777" w:rsidR="00792E6F" w:rsidRPr="000E08BB" w:rsidRDefault="00792E6F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09.30</w:t>
            </w: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ab/>
              <w:t>REGISTRAZIONE PARTECIPANTI</w:t>
            </w:r>
          </w:p>
          <w:p w14:paraId="3AFC3F14" w14:textId="77777777" w:rsidR="00654099" w:rsidRPr="000E08BB" w:rsidRDefault="00654099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</w:p>
          <w:p w14:paraId="7A0CC864" w14:textId="1FE2CE54" w:rsidR="00792E6F" w:rsidRPr="000E08BB" w:rsidRDefault="00654099" w:rsidP="00654099">
            <w:pPr>
              <w:spacing w:before="120" w:after="120" w:line="200" w:lineRule="exact"/>
              <w:ind w:left="708" w:right="159" w:hanging="637"/>
              <w:jc w:val="both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  <w:r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1</w:t>
            </w:r>
            <w:r w:rsidR="00792E6F"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 xml:space="preserve">0.00 SALUTI ISTITUZIONALI E APERTURA DEI LAVORI  </w:t>
            </w:r>
          </w:p>
          <w:p w14:paraId="57709445" w14:textId="5731BB94" w:rsidR="00792E6F" w:rsidRPr="000E08BB" w:rsidRDefault="00934354" w:rsidP="00654099">
            <w:pPr>
              <w:spacing w:before="120" w:after="120" w:line="200" w:lineRule="exact"/>
              <w:ind w:left="2200" w:right="159" w:hanging="2126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Sandro P</w:t>
            </w:r>
            <w:r w:rsidR="00E12B35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e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ttinato</w:t>
            </w:r>
            <w:r w:rsidR="00792E6F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</w:t>
            </w:r>
            <w:r w:rsidR="00ED789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Vice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–</w:t>
            </w:r>
            <w:r w:rsidR="00792E6F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Segretario Generale Unioncamere </w:t>
            </w:r>
          </w:p>
          <w:p w14:paraId="14F5034B" w14:textId="752B0B9D" w:rsidR="00CC51CD" w:rsidRPr="000E08BB" w:rsidRDefault="00815BF6" w:rsidP="00BE3ABC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Antonio </w:t>
            </w:r>
            <w:proofErr w:type="spellStart"/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Lirosi</w:t>
            </w:r>
            <w:proofErr w:type="spellEnd"/>
            <w:r w:rsidR="00FF3996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</w:t>
            </w:r>
            <w:r w:rsidR="00CC51CD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Direttore Generale, </w:t>
            </w:r>
            <w:r w:rsidR="00BE3ABC" w:rsidRP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Direzione Generale per la Tutela della Proprietà Industriale - Ufficio Italiano Brevetti e Marchi, Ministero dello Sviluppo Economico</w:t>
            </w:r>
          </w:p>
          <w:p w14:paraId="168C2120" w14:textId="3DC76A62" w:rsidR="00C761E1" w:rsidRPr="00815BF6" w:rsidRDefault="00815BF6" w:rsidP="00654099">
            <w:pPr>
              <w:spacing w:before="120" w:after="120" w:line="200" w:lineRule="exact"/>
              <w:ind w:left="2200" w:right="159" w:hanging="2126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</w:pPr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>Christoph E</w:t>
            </w:r>
            <w:r w:rsidR="00FF3996"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>rnst</w:t>
            </w:r>
            <w:r w:rsidR="00FF3996" w:rsidRPr="00FF3996">
              <w:rPr>
                <w:rFonts w:ascii="Century Gothic" w:eastAsia="Times New Roman" w:hAnsi="Century Gothic" w:cs="Times New Roman"/>
                <w:sz w:val="19"/>
                <w:szCs w:val="19"/>
                <w:lang w:val="en-US" w:eastAsia="it-IT"/>
              </w:rPr>
              <w:t xml:space="preserve"> – </w:t>
            </w:r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>Vice-</w:t>
            </w:r>
            <w:proofErr w:type="spellStart"/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>President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>e</w:t>
            </w:r>
            <w:proofErr w:type="spellEnd"/>
            <w:r>
              <w:rPr>
                <w:rFonts w:ascii="Century Gothic" w:eastAsia="Times New Roman" w:hAnsi="Century Gothic" w:cs="Times New Roman"/>
                <w:sz w:val="19"/>
                <w:szCs w:val="19"/>
                <w:lang w:val="en-GB" w:eastAsia="it-IT"/>
              </w:rPr>
              <w:t xml:space="preserve"> European Patent Office</w:t>
            </w:r>
          </w:p>
          <w:p w14:paraId="18DF8A0A" w14:textId="77777777" w:rsidR="00654099" w:rsidRPr="00815BF6" w:rsidRDefault="00654099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val="en-GB" w:eastAsia="it-IT"/>
              </w:rPr>
            </w:pPr>
          </w:p>
          <w:p w14:paraId="52BF6B10" w14:textId="5B12406F" w:rsidR="00542631" w:rsidRPr="000E08BB" w:rsidRDefault="00542631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0.45 LE POTENZIALITA’ DEL SISTEMA DELLA PROPRIETA’ INDUSTRIALE PER LA CRESCITA ECONOMICA</w:t>
            </w:r>
          </w:p>
          <w:p w14:paraId="147B1EF4" w14:textId="5B7CB5A7" w:rsidR="00542631" w:rsidRPr="000E08BB" w:rsidRDefault="00B33511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Mario </w:t>
            </w:r>
            <w:r w:rsidR="00C11737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Libertini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</w:t>
            </w:r>
            <w:r w:rsidR="0037365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Professore emerito</w:t>
            </w:r>
            <w:r w:rsidR="00CC51CD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di diritto industriale e diritto commerciale nella Facoltà di Giurisprudenza dell’Università di Roma “La Sapienza”</w:t>
            </w:r>
          </w:p>
          <w:p w14:paraId="525F3DD2" w14:textId="77777777" w:rsidR="00654099" w:rsidRPr="000E08BB" w:rsidRDefault="00654099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</w:p>
          <w:p w14:paraId="2AD3908F" w14:textId="49CBE5D7" w:rsidR="00C11737" w:rsidRPr="000E08BB" w:rsidRDefault="00C11737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1.</w:t>
            </w:r>
            <w:r w:rsidR="00CC51CD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15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 L’IMPEGNO DELL’UFFICIO ITALIANO BREVETTI E</w:t>
            </w:r>
            <w:r w:rsidR="00C7528F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 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MARCHI A SUPPORTO DEL SISTEMA IMPRESA</w:t>
            </w:r>
          </w:p>
          <w:p w14:paraId="115D8DAD" w14:textId="00FCEDDF" w:rsidR="00C11737" w:rsidRPr="000E08BB" w:rsidRDefault="00C11737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Francesco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Morgia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</w:t>
            </w:r>
            <w:r w:rsidR="00BE3ABC" w:rsidRP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Dirigente Affari Generali, Direzione Generale per la Tutela della Proprietà Industriale - Ufficio Italiano Brevetti e Marchi, Ministero dello Sviluppo Economico</w:t>
            </w:r>
          </w:p>
          <w:p w14:paraId="4D10E383" w14:textId="77777777" w:rsidR="00654099" w:rsidRPr="000E08BB" w:rsidRDefault="00654099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</w:pPr>
          </w:p>
          <w:p w14:paraId="1BF5053D" w14:textId="28705D00" w:rsidR="00792E6F" w:rsidRPr="000E08BB" w:rsidRDefault="00792E6F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1</w:t>
            </w:r>
            <w:r w:rsidR="00267D24"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1</w:t>
            </w:r>
            <w:r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.</w:t>
            </w:r>
            <w:r w:rsidR="00CC51CD"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30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ab/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ESPERIENZE </w:t>
            </w:r>
            <w:r w:rsidR="00CC51CD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DEI CENTRI DI </w:t>
            </w:r>
            <w:r w:rsidR="00592B81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DOCUMENTAZIONE E </w:t>
            </w:r>
            <w:r w:rsidR="00CC51CD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INFORMAZIONE BREVETTUALE </w:t>
            </w:r>
            <w:r w:rsidR="00592B81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A CONFRONTO</w:t>
            </w:r>
          </w:p>
          <w:p w14:paraId="21D6B72D" w14:textId="77777777" w:rsidR="00C11737" w:rsidRPr="000E08BB" w:rsidRDefault="00C11737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Elisa Toniolo</w:t>
            </w:r>
            <w:r w:rsidR="00B33511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t2i Trasferimento Tecnologico Innovazione</w:t>
            </w:r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 Treviso</w:t>
            </w:r>
          </w:p>
          <w:p w14:paraId="453DEDCC" w14:textId="77777777" w:rsidR="009C22C7" w:rsidRPr="000E08BB" w:rsidRDefault="00B33511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Michel Caldana </w:t>
            </w:r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–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Picarré</w:t>
            </w:r>
            <w:proofErr w:type="spellEnd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</w:t>
            </w:r>
            <w:proofErr w:type="spellStart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Propriété</w:t>
            </w:r>
            <w:proofErr w:type="spellEnd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Intellectuelle</w:t>
            </w:r>
            <w:proofErr w:type="spellEnd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, </w:t>
            </w:r>
            <w:proofErr w:type="spellStart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Angleur</w:t>
            </w:r>
            <w:proofErr w:type="spellEnd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(</w:t>
            </w:r>
            <w:proofErr w:type="spellStart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Liège</w:t>
            </w:r>
            <w:proofErr w:type="spellEnd"/>
            <w:r w:rsidR="0055752A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)</w:t>
            </w:r>
          </w:p>
          <w:p w14:paraId="73D88AA4" w14:textId="5C7761BA" w:rsidR="000556EE" w:rsidRPr="00B52CE9" w:rsidRDefault="000556EE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Angela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Chiumeo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- UBM Camera di Commercio I. A. A. Chieti </w:t>
            </w:r>
          </w:p>
          <w:p w14:paraId="554BA61F" w14:textId="77777777" w:rsidR="000556EE" w:rsidRPr="000E08BB" w:rsidRDefault="000556EE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</w:p>
          <w:p w14:paraId="5230C682" w14:textId="12494BF7" w:rsidR="00171986" w:rsidRPr="000E08BB" w:rsidRDefault="00792E6F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</w:t>
            </w:r>
            <w:r w:rsidR="00171986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2</w:t>
            </w:r>
            <w:r w:rsidR="00BF15AF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.</w:t>
            </w:r>
            <w:r w:rsidR="000556EE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15</w:t>
            </w:r>
            <w:r w:rsidR="00171986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 xml:space="preserve"> </w:t>
            </w:r>
            <w:r w:rsidR="00171986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DIBATTITO</w:t>
            </w:r>
          </w:p>
          <w:p w14:paraId="343C3B80" w14:textId="77777777" w:rsidR="0055752A" w:rsidRPr="000E08BB" w:rsidRDefault="0055752A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</w:p>
          <w:p w14:paraId="05C361EA" w14:textId="77777777" w:rsidR="00792E6F" w:rsidRPr="000E08BB" w:rsidRDefault="00171986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i/>
                <w:caps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</w:t>
            </w:r>
            <w:r w:rsidR="00792E6F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3.</w:t>
            </w:r>
            <w:r w:rsidR="00C11737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00</w:t>
            </w:r>
            <w:r w:rsidR="00792E6F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ab/>
            </w:r>
            <w:r w:rsidR="00792E6F" w:rsidRPr="000E08BB">
              <w:rPr>
                <w:rFonts w:ascii="Century Gothic" w:eastAsia="Times New Roman" w:hAnsi="Century Gothic" w:cs="Times New Roman"/>
                <w:b/>
                <w:i/>
                <w:caps/>
                <w:sz w:val="19"/>
                <w:szCs w:val="19"/>
                <w:lang w:eastAsia="it-IT"/>
              </w:rPr>
              <w:t>Light lunch</w:t>
            </w:r>
          </w:p>
          <w:p w14:paraId="338FFB44" w14:textId="77777777" w:rsidR="0055752A" w:rsidRPr="000E08BB" w:rsidRDefault="0055752A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</w:p>
          <w:p w14:paraId="35A72E74" w14:textId="77777777" w:rsidR="00C11737" w:rsidRPr="000E08BB" w:rsidRDefault="00C11737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 xml:space="preserve">14.00 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L’IMPORTANZA DI UNA RETE DI SERVIZI PER FAVORIRE IL TRASFERIMENTO TECNOLOGICO</w:t>
            </w:r>
          </w:p>
          <w:p w14:paraId="69ADEE4E" w14:textId="465AF85B" w:rsidR="000556EE" w:rsidRPr="000E08BB" w:rsidRDefault="00E84E4D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Sara Giordani </w:t>
            </w:r>
            <w:r w:rsidR="00B96E61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–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r w:rsidR="00B96E61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Consulente i</w:t>
            </w:r>
            <w:r w:rsidR="000556EE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n trasferimento tecnologico e valutazione di beni immateriali</w:t>
            </w:r>
          </w:p>
          <w:p w14:paraId="509C2231" w14:textId="77777777" w:rsidR="001220F1" w:rsidRPr="000E08BB" w:rsidRDefault="001220F1" w:rsidP="00654099">
            <w:pPr>
              <w:spacing w:before="120" w:after="120" w:line="200" w:lineRule="exact"/>
              <w:ind w:left="708" w:right="159" w:hanging="636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</w:p>
          <w:p w14:paraId="10D8954F" w14:textId="40E2B415" w:rsidR="00CC51CD" w:rsidRPr="000E08BB" w:rsidRDefault="00C11737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1</w:t>
            </w:r>
            <w:r w:rsidR="001220F1"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4</w:t>
            </w:r>
            <w:r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.</w:t>
            </w:r>
            <w:r w:rsidR="001220F1" w:rsidRPr="000E08BB">
              <w:rPr>
                <w:rFonts w:ascii="Century Gothic" w:eastAsia="Century Gothic" w:hAnsi="Century Gothic" w:cs="Century Gothic"/>
                <w:b/>
                <w:sz w:val="19"/>
                <w:szCs w:val="19"/>
              </w:rPr>
              <w:t>30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ab/>
            </w:r>
            <w:r w:rsidR="00592B81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ESPERIENZE DEI CENTRI DI </w:t>
            </w:r>
            <w:r w:rsidR="00592B81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DOCUMENTAZIONE E </w:t>
            </w:r>
            <w:r w:rsidR="00592B81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INFORMAZIONE BREVETTUALE </w:t>
            </w:r>
            <w:r w:rsidR="00592B81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A CONFRONTO</w:t>
            </w:r>
          </w:p>
          <w:p w14:paraId="5FE4B391" w14:textId="0E24DC7E" w:rsidR="00792E6F" w:rsidRPr="000E08BB" w:rsidRDefault="00CC51CD" w:rsidP="00654099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Giovanni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Savarino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-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PatLib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Camera di</w:t>
            </w:r>
            <w:r w:rsidR="007A75D8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Commercio I. A. A. Caltanis</w:t>
            </w:r>
            <w:r w:rsidR="000556EE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s</w:t>
            </w:r>
            <w:r w:rsidR="007A75D8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etta</w:t>
            </w:r>
          </w:p>
        </w:tc>
      </w:tr>
      <w:tr w:rsidR="007A75D8" w:rsidRPr="005C7368" w14:paraId="1EE8CE5E" w14:textId="77777777" w:rsidTr="000556EE">
        <w:trPr>
          <w:trHeight w:val="4645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D9D22F" w14:textId="5A388D5A" w:rsidR="00654099" w:rsidRPr="00815BF6" w:rsidRDefault="000E08BB" w:rsidP="00E84E4D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lastRenderedPageBreak/>
              <w:t xml:space="preserve">Veronique </w:t>
            </w:r>
            <w:proofErr w:type="spellStart"/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Spannagel</w:t>
            </w:r>
            <w:proofErr w:type="spellEnd"/>
            <w:r w:rsidRPr="00815BF6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 Head of the PATLIB Network in France - Institut national de</w:t>
            </w:r>
            <w:r w:rsidR="00E84E4D" w:rsidRPr="00815BF6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la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propriété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industrielle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 Lille</w:t>
            </w:r>
          </w:p>
          <w:p w14:paraId="5919EE91" w14:textId="77777777" w:rsidR="00E84E4D" w:rsidRPr="000E08BB" w:rsidRDefault="00E84E4D" w:rsidP="000E08BB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</w:p>
          <w:p w14:paraId="056162C4" w14:textId="52E22616" w:rsidR="007A75D8" w:rsidRPr="000E08BB" w:rsidRDefault="007A75D8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15.</w:t>
            </w:r>
            <w:r w:rsidR="000556EE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00</w:t>
            </w: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 xml:space="preserve"> 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DIBATTITO</w:t>
            </w:r>
          </w:p>
          <w:p w14:paraId="0416BF44" w14:textId="77777777" w:rsidR="00654099" w:rsidRPr="000E08BB" w:rsidRDefault="00654099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</w:p>
          <w:p w14:paraId="77B440CF" w14:textId="48DC0C08" w:rsidR="007A75D8" w:rsidRPr="000E08BB" w:rsidRDefault="007A75D8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15.</w:t>
            </w:r>
            <w:r w:rsidR="000556EE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30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 </w:t>
            </w:r>
            <w:r w:rsidR="009C22C7"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>I</w:t>
            </w:r>
            <w:r w:rsidRPr="000E08BB">
              <w:rPr>
                <w:rFonts w:ascii="Century Gothic" w:eastAsia="Times New Roman" w:hAnsi="Century Gothic" w:cs="Times New Roman"/>
                <w:b/>
                <w:sz w:val="19"/>
                <w:szCs w:val="19"/>
                <w:lang w:eastAsia="it-IT"/>
              </w:rPr>
              <w:t xml:space="preserve">L DECRETO CRESCITA 2019: GLI INCENTIVI A SOSTEGNO DELLA PROPRIETÀ INDUSTRIALE  </w:t>
            </w:r>
          </w:p>
          <w:p w14:paraId="59272C60" w14:textId="793DA22A" w:rsidR="007A75D8" w:rsidRPr="000E08BB" w:rsidRDefault="007A75D8" w:rsidP="00BE3ABC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Loredana Guglielmetti – Dirigente Brevetti nazionali, europei e domande internazionali di brevetto, </w:t>
            </w:r>
            <w:r w:rsidR="00BE3ABC" w:rsidRP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Direzione Generale per la Tutela della Proprietà Industriale - Ufficio Italiano Brevetti e Marchi, Ministero dello Sviluppo Economico</w:t>
            </w:r>
          </w:p>
          <w:p w14:paraId="5A1FBCE3" w14:textId="2C01A2A6" w:rsidR="00BE3ABC" w:rsidRPr="00BE3ABC" w:rsidRDefault="007A75D8" w:rsidP="00BE3ABC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Alfonso </w:t>
            </w:r>
            <w:proofErr w:type="spellStart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Piantedosi</w:t>
            </w:r>
            <w:proofErr w:type="spellEnd"/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– Dirige</w:t>
            </w:r>
            <w:r w:rsidR="00735033"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n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te Marchi, Disegni e modelli</w:t>
            </w:r>
            <w:r w:rsid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</w:t>
            </w:r>
            <w:r w:rsidRPr="000E08BB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r w:rsidR="00BE3ABC" w:rsidRP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Direzione Generale per la Tutela della Proprietà Industriale - Ufficio Italiano Brevetti e Marchi, Ministero dello Sviluppo Economico</w:t>
            </w:r>
          </w:p>
          <w:p w14:paraId="3EE4CE22" w14:textId="77777777" w:rsidR="00654099" w:rsidRPr="000E08BB" w:rsidRDefault="00654099" w:rsidP="00BE3ABC">
            <w:pPr>
              <w:spacing w:before="120" w:after="120" w:line="200" w:lineRule="exact"/>
              <w:ind w:right="159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</w:p>
          <w:p w14:paraId="6AC4D4C7" w14:textId="3CC67A47" w:rsidR="007A75D8" w:rsidRPr="000E08BB" w:rsidRDefault="007A75D8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16.</w:t>
            </w:r>
            <w:r w:rsidR="000556EE"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>00</w:t>
            </w:r>
            <w:r w:rsidRPr="000E08BB"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  <w:t xml:space="preserve"> CHIUSURA DEI LAVORI</w:t>
            </w:r>
          </w:p>
          <w:p w14:paraId="4A66F9C7" w14:textId="3289A023" w:rsidR="00E12B35" w:rsidRPr="00BE3ABC" w:rsidRDefault="00E12B35" w:rsidP="00BE3ABC">
            <w:pPr>
              <w:spacing w:before="120" w:after="120" w:line="260" w:lineRule="exact"/>
              <w:ind w:left="74" w:right="159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Pierangelo D’Ambra – Dirigente Servizi per l’utenza</w:t>
            </w:r>
            <w:r w:rsidR="00037E76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r w:rsidR="00BE3ABC" w:rsidRPr="00BE3ABC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Direzione Generale per la Tutela della Proprietà Industriale - Ufficio Italiano Brevetti e Marchi, Ministero dello Sviluppo Economico</w:t>
            </w:r>
          </w:p>
          <w:p w14:paraId="12E85EAF" w14:textId="77777777" w:rsidR="007A75D8" w:rsidRDefault="00E12B35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Marilina Labia – Dirigente </w:t>
            </w:r>
            <w:r w:rsidRPr="00E12B35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Area Assistenza tecnica per la Pubblica Amministrazione</w:t>
            </w:r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,</w:t>
            </w:r>
            <w:r w:rsidR="00B52CE9"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 xml:space="preserve"> </w:t>
            </w:r>
            <w:proofErr w:type="gramStart"/>
            <w:r>
              <w:rPr>
                <w:rFonts w:ascii="Century Gothic" w:eastAsia="Times New Roman" w:hAnsi="Century Gothic" w:cs="Times New Roman"/>
                <w:sz w:val="19"/>
                <w:szCs w:val="19"/>
                <w:lang w:eastAsia="it-IT"/>
              </w:rPr>
              <w:t>Si.Camera</w:t>
            </w:r>
            <w:proofErr w:type="gramEnd"/>
          </w:p>
          <w:p w14:paraId="21E66621" w14:textId="2550415D" w:rsidR="00CE25D1" w:rsidRPr="000E08BB" w:rsidRDefault="00CE25D1" w:rsidP="00654099">
            <w:pPr>
              <w:spacing w:before="120" w:after="120" w:line="200" w:lineRule="exact"/>
              <w:ind w:left="709" w:right="159" w:hanging="635"/>
              <w:jc w:val="both"/>
              <w:rPr>
                <w:rFonts w:ascii="Century Gothic" w:eastAsia="Times New Roman" w:hAnsi="Century Gothic" w:cs="Times New Roman"/>
                <w:b/>
                <w:smallCaps/>
                <w:sz w:val="19"/>
                <w:szCs w:val="19"/>
                <w:lang w:eastAsia="it-IT"/>
              </w:rPr>
            </w:pPr>
            <w:bookmarkStart w:id="0" w:name="_GoBack"/>
            <w:bookmarkEnd w:id="0"/>
          </w:p>
        </w:tc>
      </w:tr>
      <w:tr w:rsidR="00792E6F" w:rsidRPr="005C7368" w14:paraId="448FCF0E" w14:textId="77777777" w:rsidTr="00067A75">
        <w:trPr>
          <w:trHeight w:val="789"/>
        </w:trPr>
        <w:tc>
          <w:tcPr>
            <w:tcW w:w="94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419F79" w14:textId="77777777" w:rsidR="00792E6F" w:rsidRPr="004511B7" w:rsidRDefault="00792E6F" w:rsidP="00CC51CD">
            <w:pPr>
              <w:spacing w:after="0" w:line="200" w:lineRule="exact"/>
              <w:rPr>
                <w:rFonts w:ascii="Century Gothic" w:eastAsia="Century Gothic" w:hAnsi="Century Gothic"/>
                <w:b/>
                <w:smallCaps/>
                <w:color w:val="009FDF"/>
                <w:sz w:val="21"/>
                <w:szCs w:val="21"/>
              </w:rPr>
            </w:pPr>
            <w:r w:rsidRPr="00CC51CD">
              <w:rPr>
                <w:rFonts w:ascii="Century Gothic" w:eastAsia="Century Gothic" w:hAnsi="Century Gothic"/>
                <w:b/>
                <w:smallCaps/>
                <w:color w:val="009FDF"/>
                <w:sz w:val="21"/>
                <w:szCs w:val="21"/>
              </w:rPr>
              <w:t>SEDE:</w:t>
            </w:r>
            <w:r w:rsidR="00CC51CD" w:rsidRPr="00CC51CD">
              <w:rPr>
                <w:rFonts w:ascii="Century Gothic" w:eastAsia="Century Gothic" w:hAnsi="Century Gothic"/>
                <w:b/>
                <w:smallCaps/>
                <w:color w:val="FF0000"/>
                <w:sz w:val="21"/>
                <w:szCs w:val="21"/>
              </w:rPr>
              <w:t xml:space="preserve"> </w:t>
            </w:r>
            <w:r w:rsidR="00CC51CD" w:rsidRPr="00CC51CD">
              <w:rPr>
                <w:rFonts w:ascii="Century Gothic" w:eastAsia="Century Gothic" w:hAnsi="Century Gothic"/>
                <w:b/>
                <w:smallCaps/>
                <w:sz w:val="21"/>
                <w:szCs w:val="21"/>
              </w:rPr>
              <w:t xml:space="preserve">UNIONCAMERE, Piazza Sallustio, 21- Roma </w:t>
            </w:r>
          </w:p>
        </w:tc>
      </w:tr>
    </w:tbl>
    <w:p w14:paraId="5C072DB7" w14:textId="77777777" w:rsidR="006F5046" w:rsidRDefault="008E35C1" w:rsidP="00032E1E"/>
    <w:sectPr w:rsidR="006F504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405DB" w14:textId="77777777" w:rsidR="008E35C1" w:rsidRDefault="008E35C1" w:rsidP="007A75D8">
      <w:pPr>
        <w:spacing w:after="0" w:line="240" w:lineRule="auto"/>
      </w:pPr>
      <w:r>
        <w:separator/>
      </w:r>
    </w:p>
  </w:endnote>
  <w:endnote w:type="continuationSeparator" w:id="0">
    <w:p w14:paraId="7873B4E1" w14:textId="77777777" w:rsidR="008E35C1" w:rsidRDefault="008E35C1" w:rsidP="007A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E9B4" w14:textId="77777777" w:rsidR="008E35C1" w:rsidRDefault="008E35C1" w:rsidP="007A75D8">
      <w:pPr>
        <w:spacing w:after="0" w:line="240" w:lineRule="auto"/>
      </w:pPr>
      <w:r>
        <w:separator/>
      </w:r>
    </w:p>
  </w:footnote>
  <w:footnote w:type="continuationSeparator" w:id="0">
    <w:p w14:paraId="1A078581" w14:textId="77777777" w:rsidR="008E35C1" w:rsidRDefault="008E35C1" w:rsidP="007A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B7A36" w14:textId="77777777" w:rsidR="009C22C7" w:rsidRDefault="000E08BB" w:rsidP="007A75D8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5C00F98" wp14:editId="1B94F543">
          <wp:simplePos x="0" y="0"/>
          <wp:positionH relativeFrom="column">
            <wp:posOffset>4442460</wp:posOffset>
          </wp:positionH>
          <wp:positionV relativeFrom="paragraph">
            <wp:posOffset>-211455</wp:posOffset>
          </wp:positionV>
          <wp:extent cx="1476375" cy="80154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396" cy="803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5D8">
      <w:rPr>
        <w:noProof/>
        <w:lang w:eastAsia="it-IT"/>
      </w:rPr>
      <w:drawing>
        <wp:inline distT="0" distB="0" distL="0" distR="0" wp14:anchorId="1254E326" wp14:editId="5D9ADE74">
          <wp:extent cx="1908175" cy="4025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 w:rsidR="007A75D8">
      <w:tab/>
    </w:r>
  </w:p>
  <w:p w14:paraId="098C3B98" w14:textId="77777777" w:rsidR="009C22C7" w:rsidRDefault="009C22C7" w:rsidP="007A75D8">
    <w:pPr>
      <w:pStyle w:val="Intestazione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6F"/>
    <w:rsid w:val="00032E1E"/>
    <w:rsid w:val="00037E76"/>
    <w:rsid w:val="000556EE"/>
    <w:rsid w:val="000925F3"/>
    <w:rsid w:val="000E08BB"/>
    <w:rsid w:val="001220F1"/>
    <w:rsid w:val="00124F91"/>
    <w:rsid w:val="00171986"/>
    <w:rsid w:val="00267D24"/>
    <w:rsid w:val="002C7EA7"/>
    <w:rsid w:val="0037365C"/>
    <w:rsid w:val="00465922"/>
    <w:rsid w:val="00491388"/>
    <w:rsid w:val="004917CF"/>
    <w:rsid w:val="004E60EF"/>
    <w:rsid w:val="005107E9"/>
    <w:rsid w:val="00542631"/>
    <w:rsid w:val="0055752A"/>
    <w:rsid w:val="005913FD"/>
    <w:rsid w:val="00592B81"/>
    <w:rsid w:val="005B2B36"/>
    <w:rsid w:val="00654099"/>
    <w:rsid w:val="00735033"/>
    <w:rsid w:val="00757FBC"/>
    <w:rsid w:val="007616A3"/>
    <w:rsid w:val="00773AA7"/>
    <w:rsid w:val="00792E6F"/>
    <w:rsid w:val="007A75D8"/>
    <w:rsid w:val="00815BF6"/>
    <w:rsid w:val="008E35C1"/>
    <w:rsid w:val="00922707"/>
    <w:rsid w:val="00934354"/>
    <w:rsid w:val="00945A70"/>
    <w:rsid w:val="0097208E"/>
    <w:rsid w:val="009C22C7"/>
    <w:rsid w:val="00A34D86"/>
    <w:rsid w:val="00B33511"/>
    <w:rsid w:val="00B52CE9"/>
    <w:rsid w:val="00B96E61"/>
    <w:rsid w:val="00BE3ABC"/>
    <w:rsid w:val="00BF15AF"/>
    <w:rsid w:val="00C11737"/>
    <w:rsid w:val="00C7528F"/>
    <w:rsid w:val="00C761E1"/>
    <w:rsid w:val="00CA1F30"/>
    <w:rsid w:val="00CC51CD"/>
    <w:rsid w:val="00CE25D1"/>
    <w:rsid w:val="00D461CB"/>
    <w:rsid w:val="00E12B35"/>
    <w:rsid w:val="00E84E4D"/>
    <w:rsid w:val="00EB72B1"/>
    <w:rsid w:val="00ED789C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EA83B"/>
  <w15:docId w15:val="{34AD6C41-01C0-433C-B758-C5BBE47D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1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792E6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A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5D8"/>
  </w:style>
  <w:style w:type="paragraph" w:styleId="Pidipagina">
    <w:name w:val="footer"/>
    <w:basedOn w:val="Normale"/>
    <w:link w:val="PidipaginaCarattere"/>
    <w:uiPriority w:val="99"/>
    <w:unhideWhenUsed/>
    <w:rsid w:val="007A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5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47E8-65E4-435A-8C85-777C5E71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Stefania Salvatore</cp:lastModifiedBy>
  <cp:revision>6</cp:revision>
  <cp:lastPrinted>2019-10-09T15:16:00Z</cp:lastPrinted>
  <dcterms:created xsi:type="dcterms:W3CDTF">2019-11-05T10:05:00Z</dcterms:created>
  <dcterms:modified xsi:type="dcterms:W3CDTF">2019-11-06T09:11:00Z</dcterms:modified>
</cp:coreProperties>
</file>